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ind w:left="0" w:leftChars="0" w:firstLine="0" w:firstLineChars="0"/>
        <w:rPr>
          <w:rFonts w:hint="eastAsia" w:eastAsia="黑体"/>
          <w:lang w:eastAsia="zh-CN"/>
        </w:rPr>
      </w:pPr>
      <w:r>
        <w:t>附件</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0" w:firstLineChars="0"/>
        <w:jc w:val="center"/>
        <w:textAlignment w:val="auto"/>
      </w:pPr>
    </w:p>
    <w:p>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pPr>
      <w:r>
        <w:t>研究开发机构和高等院校</w:t>
      </w:r>
    </w:p>
    <w:p>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pPr>
      <w:r>
        <w:t>科技成果转化年度报告</w:t>
      </w:r>
    </w:p>
    <w:p>
      <w:pPr>
        <w:pStyle w:val="9"/>
        <w:keepNext w:val="0"/>
        <w:keepLines w:val="0"/>
        <w:pageBreakBefore w:val="0"/>
        <w:widowControl w:val="0"/>
        <w:kinsoku/>
        <w:wordWrap/>
        <w:overflowPunct/>
        <w:topLinePunct w:val="0"/>
        <w:autoSpaceDE/>
        <w:autoSpaceDN/>
        <w:bidi w:val="0"/>
        <w:adjustRightInd w:val="0"/>
        <w:snapToGrid w:val="0"/>
        <w:spacing w:line="360" w:lineRule="auto"/>
        <w:textAlignment w:val="auto"/>
        <w:rPr>
          <w:sz w:val="36"/>
          <w:szCs w:val="36"/>
        </w:rPr>
      </w:pPr>
      <w:r>
        <w:rPr>
          <w:rFonts w:hint="eastAsia"/>
          <w:sz w:val="36"/>
          <w:szCs w:val="36"/>
        </w:rPr>
        <w:t>（</w:t>
      </w:r>
      <w:r>
        <w:rPr>
          <w:rFonts w:hint="eastAsia"/>
          <w:sz w:val="36"/>
          <w:szCs w:val="36"/>
          <w:lang w:val="en-US" w:eastAsia="zh-CN"/>
        </w:rPr>
        <w:t>2022</w:t>
      </w:r>
      <w:r>
        <w:rPr>
          <w:rFonts w:hint="eastAsia"/>
          <w:sz w:val="36"/>
          <w:szCs w:val="36"/>
        </w:rPr>
        <w:t>年）</w:t>
      </w:r>
    </w:p>
    <w:p>
      <w:pPr>
        <w:bidi w:val="0"/>
      </w:pPr>
    </w:p>
    <w:p>
      <w:pPr>
        <w:bidi w:val="0"/>
      </w:pPr>
    </w:p>
    <w:p>
      <w:pPr>
        <w:bidi w:val="0"/>
      </w:pPr>
    </w:p>
    <w:tbl>
      <w:tblPr>
        <w:tblStyle w:val="7"/>
        <w:tblW w:w="6803"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57" w:type="dxa"/>
          <w:left w:w="57" w:type="dxa"/>
          <w:bottom w:w="57" w:type="dxa"/>
          <w:right w:w="57" w:type="dxa"/>
        </w:tblCellMar>
      </w:tblPr>
      <w:tblGrid>
        <w:gridCol w:w="2109"/>
        <w:gridCol w:w="1731"/>
        <w:gridCol w:w="532"/>
        <w:gridCol w:w="1897"/>
        <w:gridCol w:w="534"/>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1134" w:hRule="atLeast"/>
          <w:jc w:val="center"/>
        </w:trPr>
        <w:tc>
          <w:tcPr>
            <w:tcW w:w="2109" w:type="dxa"/>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pPr>
            <w:r>
              <w:t>单位（盖章）：</w:t>
            </w:r>
          </w:p>
        </w:tc>
        <w:tc>
          <w:tcPr>
            <w:tcW w:w="4694" w:type="dxa"/>
            <w:gridSpan w:val="4"/>
            <w:tcBorders>
              <w:bottom w:val="single" w:color="auto" w:sz="6" w:space="0"/>
            </w:tcBorders>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1134" w:hRule="atLeast"/>
          <w:jc w:val="center"/>
        </w:trPr>
        <w:tc>
          <w:tcPr>
            <w:tcW w:w="2109" w:type="dxa"/>
            <w:tcBorders>
              <w:bottom w:val="nil"/>
            </w:tcBorders>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r>
              <w:t>主管部门：</w:t>
            </w:r>
          </w:p>
        </w:tc>
        <w:tc>
          <w:tcPr>
            <w:tcW w:w="4694" w:type="dxa"/>
            <w:gridSpan w:val="4"/>
            <w:tcBorders>
              <w:top w:val="single" w:color="auto" w:sz="6" w:space="0"/>
              <w:bottom w:val="single" w:color="auto" w:sz="6" w:space="0"/>
            </w:tcBorders>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1134" w:hRule="atLeast"/>
          <w:jc w:val="center"/>
        </w:trPr>
        <w:tc>
          <w:tcPr>
            <w:tcW w:w="2109" w:type="dxa"/>
            <w:tcBorders>
              <w:top w:val="nil"/>
              <w:bottom w:val="nil"/>
            </w:tcBorders>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r>
              <w:t>填报日期：</w:t>
            </w:r>
          </w:p>
        </w:tc>
        <w:tc>
          <w:tcPr>
            <w:tcW w:w="1731" w:type="dxa"/>
            <w:tcBorders>
              <w:top w:val="single" w:color="auto" w:sz="6" w:space="0"/>
              <w:bottom w:val="single" w:color="auto" w:sz="6" w:space="0"/>
            </w:tcBorders>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p>
        </w:tc>
        <w:tc>
          <w:tcPr>
            <w:tcW w:w="532" w:type="dxa"/>
            <w:tcBorders>
              <w:top w:val="single" w:color="auto" w:sz="6" w:space="0"/>
              <w:bottom w:val="nil"/>
            </w:tcBorders>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r>
              <w:t>年</w:t>
            </w:r>
          </w:p>
        </w:tc>
        <w:tc>
          <w:tcPr>
            <w:tcW w:w="1897" w:type="dxa"/>
            <w:tcBorders>
              <w:top w:val="single" w:color="auto" w:sz="6" w:space="0"/>
              <w:bottom w:val="single" w:color="auto" w:sz="6" w:space="0"/>
            </w:tcBorders>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p>
        </w:tc>
        <w:tc>
          <w:tcPr>
            <w:tcW w:w="534" w:type="dxa"/>
            <w:tcBorders>
              <w:top w:val="single" w:color="auto" w:sz="6" w:space="0"/>
              <w:bottom w:val="nil"/>
            </w:tcBorders>
            <w:vAlign w:val="bottom"/>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distribute"/>
              <w:textAlignment w:val="auto"/>
              <w:outlineLvl w:val="9"/>
            </w:pPr>
            <w:r>
              <w:t>月</w:t>
            </w:r>
          </w:p>
        </w:tc>
      </w:tr>
    </w:tbl>
    <w:p>
      <w:pPr>
        <w:bidi w:val="0"/>
        <w:ind w:left="0" w:leftChars="0" w:right="0" w:rightChars="0" w:firstLine="0" w:firstLineChars="0"/>
        <w:jc w:val="center"/>
      </w:pPr>
    </w:p>
    <w:p>
      <w:pPr>
        <w:bidi w:val="0"/>
        <w:ind w:left="0" w:leftChars="0" w:right="0" w:rightChars="0" w:firstLine="0" w:firstLineChars="0"/>
        <w:jc w:val="center"/>
      </w:pPr>
    </w:p>
    <w:p>
      <w:pPr>
        <w:bidi w:val="0"/>
        <w:ind w:left="0" w:leftChars="0" w:right="0" w:rightChars="0" w:firstLine="0" w:firstLineChars="0"/>
        <w:jc w:val="center"/>
      </w:pPr>
    </w:p>
    <w:p>
      <w:pPr>
        <w:bidi w:val="0"/>
        <w:ind w:left="0" w:leftChars="0" w:right="0" w:rightChars="0" w:firstLine="0" w:firstLineChars="0"/>
        <w:jc w:val="center"/>
      </w:pPr>
    </w:p>
    <w:p>
      <w:pPr>
        <w:pStyle w:val="9"/>
        <w:bidi w:val="0"/>
        <w:rPr>
          <w:rFonts w:hint="eastAsia"/>
          <w:sz w:val="36"/>
          <w:szCs w:val="36"/>
        </w:rPr>
      </w:pPr>
      <w:r>
        <w:rPr>
          <w:sz w:val="36"/>
          <w:szCs w:val="36"/>
        </w:rPr>
        <w:t>科技部   财政部</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eastAsia="黑体" w:cs="Times New Roman"/>
          <w:color w:val="auto"/>
          <w:sz w:val="24"/>
          <w:szCs w:val="24"/>
        </w:rPr>
      </w:pPr>
      <w:r>
        <w:rPr>
          <w:rFonts w:hint="eastAsia"/>
        </w:rPr>
        <w:br w:type="page"/>
      </w:r>
      <w:r>
        <w:rPr>
          <w:rFonts w:hint="default" w:ascii="Times New Roman" w:hAnsi="Times New Roman" w:eastAsia="黑体" w:cs="Times New Roman"/>
          <w:color w:val="auto"/>
          <w:sz w:val="24"/>
          <w:szCs w:val="24"/>
        </w:rPr>
        <w:t>一、单位基本情况</w:t>
      </w:r>
    </w:p>
    <w:tbl>
      <w:tblPr>
        <w:tblStyle w:val="10"/>
        <w:tblW w:w="83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9" w:type="dxa"/>
          <w:left w:w="29" w:type="dxa"/>
          <w:bottom w:w="29" w:type="dxa"/>
          <w:right w:w="29" w:type="dxa"/>
        </w:tblCellMar>
      </w:tblPr>
      <w:tblGrid>
        <w:gridCol w:w="1357"/>
        <w:gridCol w:w="1250"/>
        <w:gridCol w:w="1250"/>
        <w:gridCol w:w="1250"/>
        <w:gridCol w:w="1739"/>
        <w:gridCol w:w="154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97" w:hRule="atLeast"/>
          <w:jc w:val="center"/>
        </w:trPr>
        <w:tc>
          <w:tcPr>
            <w:tcW w:w="13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单位名称</w:t>
            </w:r>
          </w:p>
        </w:tc>
        <w:tc>
          <w:tcPr>
            <w:tcW w:w="3750"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7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邮政编码</w:t>
            </w:r>
          </w:p>
        </w:tc>
        <w:tc>
          <w:tcPr>
            <w:tcW w:w="1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97" w:hRule="atLeast"/>
          <w:jc w:val="center"/>
        </w:trPr>
        <w:tc>
          <w:tcPr>
            <w:tcW w:w="13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址</w:t>
            </w:r>
          </w:p>
        </w:tc>
        <w:tc>
          <w:tcPr>
            <w:tcW w:w="7033"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省（直辖市、自治区）市（县）区路（街道）号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97" w:hRule="atLeast"/>
          <w:jc w:val="center"/>
        </w:trPr>
        <w:tc>
          <w:tcPr>
            <w:tcW w:w="13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单位性质</w:t>
            </w:r>
          </w:p>
        </w:tc>
        <w:tc>
          <w:tcPr>
            <w:tcW w:w="12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2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单位类型</w:t>
            </w:r>
          </w:p>
        </w:tc>
        <w:tc>
          <w:tcPr>
            <w:tcW w:w="12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7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单位网址</w:t>
            </w:r>
          </w:p>
        </w:tc>
        <w:tc>
          <w:tcPr>
            <w:tcW w:w="1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97" w:hRule="atLeast"/>
          <w:jc w:val="center"/>
        </w:trPr>
        <w:tc>
          <w:tcPr>
            <w:tcW w:w="135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法定代表人</w:t>
            </w:r>
          </w:p>
        </w:tc>
        <w:tc>
          <w:tcPr>
            <w:tcW w:w="12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2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话</w:t>
            </w:r>
          </w:p>
        </w:tc>
        <w:tc>
          <w:tcPr>
            <w:tcW w:w="12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7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传</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真</w:t>
            </w:r>
          </w:p>
        </w:tc>
        <w:tc>
          <w:tcPr>
            <w:tcW w:w="1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97" w:hRule="atLeast"/>
          <w:jc w:val="center"/>
        </w:trPr>
        <w:tc>
          <w:tcPr>
            <w:tcW w:w="1357"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联系人</w:t>
            </w:r>
          </w:p>
        </w:tc>
        <w:tc>
          <w:tcPr>
            <w:tcW w:w="12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姓</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名</w:t>
            </w:r>
          </w:p>
        </w:tc>
        <w:tc>
          <w:tcPr>
            <w:tcW w:w="250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7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所在部门、职务</w:t>
            </w:r>
          </w:p>
        </w:tc>
        <w:tc>
          <w:tcPr>
            <w:tcW w:w="1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97" w:hRule="atLeast"/>
          <w:jc w:val="center"/>
        </w:trPr>
        <w:tc>
          <w:tcPr>
            <w:tcW w:w="135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2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手机号码</w:t>
            </w:r>
          </w:p>
        </w:tc>
        <w:tc>
          <w:tcPr>
            <w:tcW w:w="250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7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办公电话</w:t>
            </w:r>
          </w:p>
        </w:tc>
        <w:tc>
          <w:tcPr>
            <w:tcW w:w="1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397" w:hRule="atLeast"/>
          <w:jc w:val="center"/>
        </w:trPr>
        <w:tc>
          <w:tcPr>
            <w:tcW w:w="135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2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电子邮件</w:t>
            </w:r>
          </w:p>
        </w:tc>
        <w:tc>
          <w:tcPr>
            <w:tcW w:w="250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73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传</w:t>
            </w:r>
            <w:r>
              <w:rPr>
                <w:rFonts w:hint="default" w:ascii="Times New Roman" w:hAnsi="Times New Roman" w:cs="Times New Roman"/>
                <w:color w:val="auto"/>
                <w:sz w:val="21"/>
                <w:szCs w:val="21"/>
                <w:lang w:val="en-US" w:eastAsia="zh-CN"/>
              </w:rPr>
              <w:t xml:space="preserve">    </w:t>
            </w:r>
            <w:r>
              <w:rPr>
                <w:rFonts w:hint="default" w:ascii="Times New Roman" w:hAnsi="Times New Roman" w:cs="Times New Roman"/>
                <w:color w:val="auto"/>
                <w:sz w:val="21"/>
                <w:szCs w:val="21"/>
              </w:rPr>
              <w:t>真</w:t>
            </w:r>
          </w:p>
        </w:tc>
        <w:tc>
          <w:tcPr>
            <w:tcW w:w="1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bl>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300" w:lineRule="auto"/>
        <w:textAlignment w:val="auto"/>
        <w:outlineLvl w:val="9"/>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二、科技成果转移转化情况</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4"/>
          <w:szCs w:val="24"/>
        </w:rPr>
        <w:t>（一）科技成果转移转化总体情况</w:t>
      </w:r>
    </w:p>
    <w:tbl>
      <w:tblPr>
        <w:tblStyle w:val="10"/>
        <w:tblW w:w="83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9" w:type="dxa"/>
          <w:left w:w="29" w:type="dxa"/>
          <w:bottom w:w="29" w:type="dxa"/>
          <w:right w:w="29" w:type="dxa"/>
        </w:tblCellMar>
      </w:tblPr>
      <w:tblGrid>
        <w:gridCol w:w="665"/>
        <w:gridCol w:w="1895"/>
        <w:gridCol w:w="3218"/>
        <w:gridCol w:w="736"/>
        <w:gridCol w:w="745"/>
        <w:gridCol w:w="113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25" w:hRule="atLeast"/>
          <w:tblHeader/>
          <w:jc w:val="center"/>
        </w:trPr>
        <w:tc>
          <w:tcPr>
            <w:tcW w:w="66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序号</w:t>
            </w:r>
          </w:p>
        </w:tc>
        <w:tc>
          <w:tcPr>
            <w:tcW w:w="5113" w:type="dxa"/>
            <w:gridSpan w:val="2"/>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项  目</w:t>
            </w:r>
          </w:p>
        </w:tc>
        <w:tc>
          <w:tcPr>
            <w:tcW w:w="2612"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202</w:t>
            </w:r>
            <w:r>
              <w:rPr>
                <w:rFonts w:hint="default" w:ascii="Times New Roman" w:hAnsi="Times New Roman" w:eastAsia="黑体" w:cs="Times New Roman"/>
                <w:color w:val="auto"/>
                <w:sz w:val="21"/>
                <w:szCs w:val="21"/>
                <w:lang w:val="en-US" w:eastAsia="zh-CN"/>
              </w:rPr>
              <w:t>2</w:t>
            </w:r>
            <w:r>
              <w:rPr>
                <w:rFonts w:hint="default" w:ascii="Times New Roman" w:hAnsi="Times New Roman" w:eastAsia="黑体" w:cs="Times New Roman"/>
                <w:color w:val="auto"/>
                <w:sz w:val="21"/>
                <w:szCs w:val="21"/>
              </w:rPr>
              <w:t>年度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25" w:hRule="atLeast"/>
          <w:tblHeader/>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p>
        </w:tc>
        <w:tc>
          <w:tcPr>
            <w:tcW w:w="5113" w:type="dxa"/>
            <w:gridSpan w:val="2"/>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p>
        </w:tc>
        <w:tc>
          <w:tcPr>
            <w:tcW w:w="736"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总计</w:t>
            </w:r>
          </w:p>
        </w:tc>
        <w:tc>
          <w:tcPr>
            <w:tcW w:w="1876"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其中：</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25" w:hRule="atLeast"/>
          <w:tblHeader/>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p>
        </w:tc>
        <w:tc>
          <w:tcPr>
            <w:tcW w:w="5113" w:type="dxa"/>
            <w:gridSpan w:val="2"/>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p>
        </w:tc>
        <w:tc>
          <w:tcPr>
            <w:tcW w:w="736"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财政</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资助</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中央财政</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资助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w:t>
            </w:r>
          </w:p>
        </w:tc>
        <w:tc>
          <w:tcPr>
            <w:tcW w:w="189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以转让方式转化科技成果</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合同项数（项）</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合同金额（万元）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当年到账金额（万元）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w:t>
            </w:r>
          </w:p>
        </w:tc>
        <w:tc>
          <w:tcPr>
            <w:tcW w:w="189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以许可方式转化科技成果</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合同项数（项）</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合同金额（万元）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当年到账金额（万元）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w:t>
            </w:r>
          </w:p>
        </w:tc>
        <w:tc>
          <w:tcPr>
            <w:tcW w:w="189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以作价投资方式转化科技成果</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合同项数（项）</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作价金额（万元）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小计</w:t>
            </w:r>
          </w:p>
        </w:tc>
        <w:tc>
          <w:tcPr>
            <w:tcW w:w="189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11"/>
                <w:sz w:val="21"/>
                <w:szCs w:val="21"/>
              </w:rPr>
              <w:t>以上一、二、三项小计</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合同总项数（项）</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合同总金额（万元）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454"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以上一、二项小计</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当年到账总金额（万元）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四</w:t>
            </w:r>
          </w:p>
        </w:tc>
        <w:tc>
          <w:tcPr>
            <w:tcW w:w="189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产学研合作情况</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技术开发、咨询、服务项目合同数（项）</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技术开发、咨询、服务项目合同金额（万元）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技术开发、咨询、服务项目当年到账总金额（万元）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合计</w:t>
            </w:r>
          </w:p>
        </w:tc>
        <w:tc>
          <w:tcPr>
            <w:tcW w:w="189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以上一、二、三、四项合计</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科技成果转让、许可、作价投资项目和技术开发、咨询、服务合同项目数（项）</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科技成果转让、许可、作价投资项目和技术开发、咨询、服务项目合同总</w:t>
            </w:r>
            <w:r>
              <w:rPr>
                <w:rFonts w:hint="default" w:ascii="Times New Roman" w:hAnsi="Times New Roman" w:cs="Times New Roman"/>
                <w:color w:val="auto"/>
                <w:sz w:val="21"/>
                <w:szCs w:val="21"/>
                <w:lang w:eastAsia="zh-CN"/>
              </w:rPr>
              <w:t>金额</w:t>
            </w:r>
            <w:r>
              <w:rPr>
                <w:rFonts w:hint="default" w:ascii="Times New Roman" w:hAnsi="Times New Roman" w:cs="Times New Roman"/>
                <w:color w:val="auto"/>
                <w:sz w:val="21"/>
                <w:szCs w:val="21"/>
              </w:rPr>
              <w:t>（万元）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11"/>
                <w:sz w:val="21"/>
                <w:szCs w:val="21"/>
              </w:rPr>
              <w:t>以上一、二、四项合计</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科技成果转让、许可项目和技术开发、咨询、服务项目当年到账总金额（万元）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五</w:t>
            </w:r>
          </w:p>
        </w:tc>
        <w:tc>
          <w:tcPr>
            <w:tcW w:w="189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获得财政资金资助的科技项目情况</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sz w:val="21"/>
                <w:szCs w:val="21"/>
                <w:highlight w:val="none"/>
                <w:lang w:eastAsia="zh-CN"/>
              </w:rPr>
            </w:pPr>
            <w:r>
              <w:rPr>
                <w:rFonts w:hint="default" w:ascii="Times New Roman" w:hAnsi="Times New Roman" w:cs="Times New Roman"/>
                <w:color w:val="auto"/>
                <w:sz w:val="21"/>
                <w:szCs w:val="21"/>
                <w:highlight w:val="none"/>
              </w:rPr>
              <w:t>立项批复的科技项目数（项）</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highlight w:val="none"/>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sz w:val="21"/>
                <w:szCs w:val="21"/>
                <w:highlight w:val="none"/>
                <w:lang w:eastAsia="zh-CN"/>
              </w:rPr>
            </w:pPr>
            <w:r>
              <w:rPr>
                <w:rFonts w:hint="default" w:ascii="Times New Roman" w:hAnsi="Times New Roman" w:cs="Times New Roman"/>
                <w:color w:val="auto"/>
                <w:sz w:val="21"/>
                <w:szCs w:val="21"/>
                <w:highlight w:val="none"/>
              </w:rPr>
              <w:t>立项批复的科技项目（课题）总金额（万元）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highlight w:val="none"/>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sz w:val="21"/>
                <w:szCs w:val="21"/>
                <w:highlight w:val="none"/>
                <w:lang w:eastAsia="zh-CN"/>
              </w:rPr>
            </w:pPr>
            <w:r>
              <w:rPr>
                <w:rFonts w:hint="default" w:ascii="Times New Roman" w:hAnsi="Times New Roman" w:cs="Times New Roman"/>
                <w:color w:val="auto"/>
                <w:sz w:val="21"/>
                <w:szCs w:val="21"/>
                <w:highlight w:val="none"/>
              </w:rPr>
              <w:t>项目（课题）资金当年到账金额（万元）</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z w:val="21"/>
                <w:szCs w:val="21"/>
                <w:lang w:eastAsia="zh-CN"/>
              </w:rPr>
              <w:t>六</w:t>
            </w:r>
          </w:p>
        </w:tc>
        <w:tc>
          <w:tcPr>
            <w:tcW w:w="189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其他相关指标</w:t>
            </w: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与企业共建研发机构、转移机构、转化服务平台数量（个）</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自建技术转移机构数量（个）</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专职从事科技成果</w:t>
            </w:r>
            <w:r>
              <w:rPr>
                <w:rFonts w:hint="default" w:ascii="Times New Roman" w:hAnsi="Times New Roman" w:cs="Times New Roman"/>
                <w:color w:val="auto"/>
                <w:spacing w:val="-6"/>
                <w:sz w:val="21"/>
                <w:szCs w:val="21"/>
                <w:lang w:eastAsia="zh-CN"/>
              </w:rPr>
              <w:t>转</w:t>
            </w:r>
            <w:r>
              <w:rPr>
                <w:rFonts w:hint="default" w:ascii="Times New Roman" w:hAnsi="Times New Roman" w:cs="Times New Roman"/>
                <w:color w:val="auto"/>
                <w:spacing w:val="-6"/>
                <w:sz w:val="21"/>
                <w:szCs w:val="21"/>
              </w:rPr>
              <w:t>化工作人数（人）</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与本单位合作开展科技成果转化的市场化转移机构数量（个）</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在外兼职从事成果转化人员和离岗创业人员数（人）</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创设公司和参股公司数（个）</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9" w:type="dxa"/>
            <w:left w:w="29" w:type="dxa"/>
            <w:bottom w:w="29" w:type="dxa"/>
            <w:right w:w="29" w:type="dxa"/>
          </w:tblCellMar>
        </w:tblPrEx>
        <w:trPr>
          <w:trHeight w:val="567" w:hRule="atLeast"/>
          <w:jc w:val="center"/>
        </w:trPr>
        <w:tc>
          <w:tcPr>
            <w:tcW w:w="66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89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cs="Times New Roman"/>
                <w:color w:val="auto"/>
                <w:sz w:val="21"/>
                <w:szCs w:val="21"/>
              </w:rPr>
            </w:pPr>
          </w:p>
        </w:tc>
        <w:tc>
          <w:tcPr>
            <w:tcW w:w="321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left"/>
              <w:textAlignment w:val="auto"/>
              <w:rPr>
                <w:rFonts w:hint="default" w:ascii="Times New Roman" w:hAnsi="Times New Roman" w:eastAsia="仿宋_GB2312" w:cs="Times New Roman"/>
                <w:color w:val="auto"/>
                <w:sz w:val="21"/>
                <w:szCs w:val="21"/>
                <w:lang w:eastAsia="zh-CN"/>
              </w:rPr>
            </w:pPr>
            <w:r>
              <w:rPr>
                <w:rFonts w:hint="default" w:ascii="Times New Roman" w:hAnsi="Times New Roman" w:cs="Times New Roman"/>
                <w:color w:val="auto"/>
                <w:spacing w:val="6"/>
                <w:sz w:val="21"/>
                <w:szCs w:val="21"/>
              </w:rPr>
              <w:t>单位认为其他需报告的指标（可不填）</w:t>
            </w:r>
          </w:p>
        </w:tc>
        <w:tc>
          <w:tcPr>
            <w:tcW w:w="7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7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c>
          <w:tcPr>
            <w:tcW w:w="11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p>
        </w:tc>
      </w:tr>
    </w:tbl>
    <w:p>
      <w:pPr>
        <w:keepNext w:val="0"/>
        <w:keepLines w:val="0"/>
        <w:pageBreakBefore w:val="0"/>
        <w:widowControl w:val="0"/>
        <w:kinsoku/>
        <w:wordWrap/>
        <w:overflowPunct/>
        <w:topLinePunct w:val="0"/>
        <w:autoSpaceDE/>
        <w:autoSpaceDN/>
        <w:bidi w:val="0"/>
        <w:adjustRightInd w:val="0"/>
        <w:snapToGrid w:val="0"/>
        <w:spacing w:before="147" w:beforeLines="25" w:line="300" w:lineRule="auto"/>
        <w:ind w:left="320" w:leftChars="100" w:right="320" w:rightChars="100" w:firstLine="0" w:firstLineChars="0"/>
        <w:textAlignment w:val="auto"/>
        <w:rPr>
          <w:rFonts w:hint="default" w:ascii="Times New Roman" w:hAnsi="Times New Roman" w:eastAsia="楷体_GB2312" w:cs="Times New Roman"/>
          <w:color w:val="auto"/>
          <w:sz w:val="21"/>
          <w:szCs w:val="21"/>
        </w:rPr>
      </w:pPr>
      <w:r>
        <w:rPr>
          <w:rFonts w:hint="default" w:ascii="Times New Roman" w:hAnsi="Times New Roman" w:eastAsia="黑体" w:cs="Times New Roman"/>
          <w:color w:val="auto"/>
          <w:sz w:val="21"/>
          <w:szCs w:val="21"/>
        </w:rPr>
        <w:t>注：</w:t>
      </w:r>
      <w:r>
        <w:rPr>
          <w:rFonts w:hint="default" w:ascii="Times New Roman" w:hAnsi="Times New Roman" w:eastAsia="楷体_GB2312" w:cs="Times New Roman"/>
          <w:color w:val="auto"/>
          <w:sz w:val="21"/>
          <w:szCs w:val="21"/>
        </w:rPr>
        <w:t>1.</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合同项数</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为当年新签订的合同总数目。</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897" w:leftChars="100" w:right="320" w:rightChars="100" w:hanging="577" w:hangingChars="275"/>
        <w:textAlignment w:val="auto"/>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rPr>
        <w:t xml:space="preserve">    2.</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合同金额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为当年新签订的合同总金额，往年签订的成果转化合同当年发生到账的不计入。若有以销售提成方式约定科技成果转化金额的情况，例如</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5</w:t>
      </w:r>
      <w:r>
        <w:rPr>
          <w:rFonts w:hint="default" w:ascii="Times New Roman" w:hAnsi="Times New Roman" w:eastAsia="楷体_GB2312" w:cs="Times New Roman"/>
          <w:color w:val="auto"/>
          <w:sz w:val="21"/>
          <w:szCs w:val="21"/>
          <w:lang w:val="en-US" w:eastAsia="zh-CN"/>
        </w:rPr>
        <w:t>0</w:t>
      </w:r>
      <w:r>
        <w:rPr>
          <w:rFonts w:hint="default" w:ascii="Times New Roman" w:hAnsi="Times New Roman" w:eastAsia="楷体_GB2312" w:cs="Times New Roman"/>
          <w:color w:val="auto"/>
          <w:sz w:val="21"/>
          <w:szCs w:val="21"/>
        </w:rPr>
        <w:t>0万元+专利技术药品年销售额3％</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30万元+每套设备5万元销售提成</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等，则</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合同金额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仅填写</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5</w:t>
      </w:r>
      <w:r>
        <w:rPr>
          <w:rFonts w:hint="default" w:ascii="Times New Roman" w:hAnsi="Times New Roman" w:eastAsia="楷体_GB2312" w:cs="Times New Roman"/>
          <w:color w:val="auto"/>
          <w:sz w:val="21"/>
          <w:szCs w:val="21"/>
          <w:lang w:val="en-US" w:eastAsia="zh-CN"/>
        </w:rPr>
        <w:t>0</w:t>
      </w:r>
      <w:r>
        <w:rPr>
          <w:rFonts w:hint="default" w:ascii="Times New Roman" w:hAnsi="Times New Roman" w:eastAsia="楷体_GB2312" w:cs="Times New Roman"/>
          <w:color w:val="auto"/>
          <w:sz w:val="21"/>
          <w:szCs w:val="21"/>
        </w:rPr>
        <w:t>0</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万元、</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30</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万元即可，无需折算销售提成。</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897" w:leftChars="100" w:right="320" w:rightChars="100" w:hanging="577" w:hangingChars="275"/>
        <w:textAlignment w:val="auto"/>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rPr>
        <w:t xml:space="preserve">    3.</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当年到账金额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为当年新签订和往年签订的合同在当年实际到账的总金额。</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897" w:leftChars="100" w:right="320" w:rightChars="100" w:hanging="577" w:hangingChars="275"/>
        <w:textAlignment w:val="auto"/>
        <w:rPr>
          <w:rFonts w:hint="default" w:ascii="Times New Roman" w:hAnsi="Times New Roman" w:eastAsia="楷体_GB2312" w:cs="Times New Roman"/>
          <w:color w:val="auto"/>
          <w:spacing w:val="6"/>
          <w:sz w:val="21"/>
          <w:szCs w:val="21"/>
          <w:highlight w:val="none"/>
          <w:lang w:eastAsia="zh-CN"/>
        </w:rPr>
      </w:pPr>
      <w:r>
        <w:rPr>
          <w:rFonts w:hint="default" w:ascii="Times New Roman" w:hAnsi="Times New Roman" w:eastAsia="楷体_GB2312" w:cs="Times New Roman"/>
          <w:color w:val="auto"/>
          <w:sz w:val="21"/>
          <w:szCs w:val="21"/>
        </w:rPr>
        <w:t xml:space="preserve">    4.</w:t>
      </w:r>
      <w:r>
        <w:rPr>
          <w:rFonts w:hint="eastAsia" w:eastAsia="楷体_GB2312" w:cs="Times New Roman"/>
          <w:color w:val="auto"/>
          <w:spacing w:val="6"/>
          <w:sz w:val="21"/>
          <w:szCs w:val="21"/>
          <w:lang w:eastAsia="zh-CN"/>
        </w:rPr>
        <w:t>“</w:t>
      </w:r>
      <w:r>
        <w:rPr>
          <w:rFonts w:hint="default" w:ascii="Times New Roman" w:hAnsi="Times New Roman" w:eastAsia="楷体_GB2312" w:cs="Times New Roman"/>
          <w:color w:val="auto"/>
          <w:spacing w:val="6"/>
          <w:sz w:val="21"/>
          <w:szCs w:val="21"/>
        </w:rPr>
        <w:t>财政资助</w:t>
      </w:r>
      <w:r>
        <w:rPr>
          <w:rFonts w:hint="eastAsia" w:eastAsia="楷体_GB2312" w:cs="Times New Roman"/>
          <w:color w:val="auto"/>
          <w:spacing w:val="6"/>
          <w:sz w:val="21"/>
          <w:szCs w:val="21"/>
          <w:lang w:eastAsia="zh-CN"/>
        </w:rPr>
        <w:t>”</w:t>
      </w:r>
      <w:r>
        <w:rPr>
          <w:rFonts w:hint="default" w:ascii="Times New Roman" w:hAnsi="Times New Roman" w:eastAsia="楷体_GB2312" w:cs="Times New Roman"/>
          <w:color w:val="auto"/>
          <w:spacing w:val="6"/>
          <w:sz w:val="21"/>
          <w:szCs w:val="21"/>
          <w:highlight w:val="none"/>
          <w:lang w:eastAsia="zh-CN"/>
        </w:rPr>
        <w:t>（序号</w:t>
      </w:r>
      <w:r>
        <w:rPr>
          <w:rFonts w:hint="eastAsia" w:eastAsia="楷体_GB2312" w:cs="Times New Roman"/>
          <w:color w:val="auto"/>
          <w:spacing w:val="6"/>
          <w:sz w:val="21"/>
          <w:szCs w:val="21"/>
          <w:highlight w:val="none"/>
          <w:lang w:eastAsia="zh-CN"/>
        </w:rPr>
        <w:t>“</w:t>
      </w:r>
      <w:r>
        <w:rPr>
          <w:rFonts w:hint="default" w:ascii="Times New Roman" w:hAnsi="Times New Roman" w:eastAsia="楷体_GB2312" w:cs="Times New Roman"/>
          <w:color w:val="auto"/>
          <w:spacing w:val="6"/>
          <w:sz w:val="21"/>
          <w:szCs w:val="21"/>
          <w:highlight w:val="none"/>
          <w:lang w:eastAsia="zh-CN"/>
        </w:rPr>
        <w:t>一</w:t>
      </w:r>
      <w:r>
        <w:rPr>
          <w:rFonts w:hint="eastAsia" w:eastAsia="楷体_GB2312" w:cs="Times New Roman"/>
          <w:color w:val="auto"/>
          <w:spacing w:val="6"/>
          <w:sz w:val="21"/>
          <w:szCs w:val="21"/>
          <w:highlight w:val="none"/>
          <w:lang w:eastAsia="zh-CN"/>
        </w:rPr>
        <w:t>”</w:t>
      </w:r>
      <w:r>
        <w:rPr>
          <w:rFonts w:hint="default" w:ascii="Times New Roman" w:hAnsi="Times New Roman" w:eastAsia="楷体_GB2312" w:cs="Times New Roman"/>
          <w:color w:val="auto"/>
          <w:spacing w:val="6"/>
          <w:sz w:val="21"/>
          <w:szCs w:val="21"/>
          <w:highlight w:val="none"/>
          <w:lang w:eastAsia="zh-CN"/>
        </w:rPr>
        <w:t>至</w:t>
      </w:r>
      <w:r>
        <w:rPr>
          <w:rFonts w:hint="eastAsia" w:eastAsia="楷体_GB2312" w:cs="Times New Roman"/>
          <w:color w:val="auto"/>
          <w:spacing w:val="6"/>
          <w:sz w:val="21"/>
          <w:szCs w:val="21"/>
          <w:highlight w:val="none"/>
          <w:lang w:eastAsia="zh-CN"/>
        </w:rPr>
        <w:t>“</w:t>
      </w:r>
      <w:r>
        <w:rPr>
          <w:rFonts w:hint="default" w:ascii="Times New Roman" w:hAnsi="Times New Roman" w:eastAsia="楷体_GB2312" w:cs="Times New Roman"/>
          <w:color w:val="auto"/>
          <w:spacing w:val="6"/>
          <w:sz w:val="21"/>
          <w:szCs w:val="21"/>
          <w:highlight w:val="none"/>
          <w:lang w:eastAsia="zh-CN"/>
        </w:rPr>
        <w:t>三</w:t>
      </w:r>
      <w:r>
        <w:rPr>
          <w:rFonts w:hint="eastAsia" w:eastAsia="楷体_GB2312" w:cs="Times New Roman"/>
          <w:color w:val="auto"/>
          <w:spacing w:val="6"/>
          <w:sz w:val="21"/>
          <w:szCs w:val="21"/>
          <w:highlight w:val="none"/>
          <w:lang w:eastAsia="zh-CN"/>
        </w:rPr>
        <w:t>”</w:t>
      </w:r>
      <w:r>
        <w:rPr>
          <w:rFonts w:hint="default" w:ascii="Times New Roman" w:hAnsi="Times New Roman" w:eastAsia="楷体_GB2312" w:cs="Times New Roman"/>
          <w:color w:val="auto"/>
          <w:spacing w:val="6"/>
          <w:sz w:val="21"/>
          <w:szCs w:val="21"/>
          <w:highlight w:val="none"/>
          <w:lang w:eastAsia="zh-CN"/>
        </w:rPr>
        <w:t>中）</w:t>
      </w:r>
      <w:r>
        <w:rPr>
          <w:rFonts w:hint="default" w:ascii="Times New Roman" w:hAnsi="Times New Roman" w:eastAsia="楷体_GB2312" w:cs="Times New Roman"/>
          <w:color w:val="auto"/>
          <w:spacing w:val="6"/>
          <w:sz w:val="21"/>
          <w:szCs w:val="21"/>
        </w:rPr>
        <w:t>为经费来源中受到过财政（包括中央财政和地方财政）资助的项目取得的科技成果转化后产生的合同数目、</w:t>
      </w:r>
      <w:r>
        <w:rPr>
          <w:rFonts w:hint="default" w:ascii="Times New Roman" w:hAnsi="Times New Roman" w:eastAsia="楷体_GB2312" w:cs="Times New Roman"/>
          <w:color w:val="auto"/>
          <w:spacing w:val="6"/>
          <w:sz w:val="21"/>
          <w:szCs w:val="21"/>
          <w:highlight w:val="none"/>
        </w:rPr>
        <w:t>合同金额、当年到账金额。</w:t>
      </w:r>
      <w:r>
        <w:rPr>
          <w:rFonts w:hint="default" w:ascii="Times New Roman" w:hAnsi="Times New Roman" w:eastAsia="楷体_GB2312" w:cs="Times New Roman"/>
          <w:color w:val="auto"/>
          <w:spacing w:val="6"/>
          <w:sz w:val="21"/>
          <w:szCs w:val="21"/>
          <w:highlight w:val="none"/>
          <w:lang w:eastAsia="zh-CN"/>
        </w:rPr>
        <w:t>如项目获得财政资助额度</w:t>
      </w:r>
      <w:r>
        <w:rPr>
          <w:rFonts w:hint="default" w:ascii="Times New Roman" w:hAnsi="Times New Roman" w:eastAsia="楷体_GB2312" w:cs="Times New Roman"/>
          <w:color w:val="auto"/>
          <w:spacing w:val="6"/>
          <w:sz w:val="21"/>
          <w:szCs w:val="21"/>
          <w:highlight w:val="none"/>
          <w:lang w:val="en-US" w:eastAsia="zh-CN"/>
        </w:rPr>
        <w:t>100万元，产生</w:t>
      </w:r>
      <w:r>
        <w:rPr>
          <w:rFonts w:hint="default" w:ascii="Times New Roman" w:hAnsi="Times New Roman" w:eastAsia="楷体_GB2312" w:cs="Times New Roman"/>
          <w:color w:val="auto"/>
          <w:spacing w:val="6"/>
          <w:sz w:val="21"/>
          <w:szCs w:val="21"/>
          <w:highlight w:val="none"/>
          <w:lang w:eastAsia="zh-CN"/>
        </w:rPr>
        <w:t>的科技成果在转化时签订的合同金额为</w:t>
      </w:r>
      <w:r>
        <w:rPr>
          <w:rFonts w:hint="default" w:ascii="Times New Roman" w:hAnsi="Times New Roman" w:eastAsia="楷体_GB2312" w:cs="Times New Roman"/>
          <w:color w:val="auto"/>
          <w:spacing w:val="6"/>
          <w:sz w:val="21"/>
          <w:szCs w:val="21"/>
          <w:highlight w:val="none"/>
          <w:lang w:val="en-US" w:eastAsia="zh-CN"/>
        </w:rPr>
        <w:t>2000万元，则</w:t>
      </w:r>
      <w:r>
        <w:rPr>
          <w:rFonts w:hint="eastAsia" w:eastAsia="楷体_GB2312" w:cs="Times New Roman"/>
          <w:color w:val="auto"/>
          <w:spacing w:val="6"/>
          <w:sz w:val="21"/>
          <w:szCs w:val="21"/>
          <w:highlight w:val="none"/>
          <w:lang w:val="en-US" w:eastAsia="zh-CN"/>
        </w:rPr>
        <w:t>“</w:t>
      </w:r>
      <w:r>
        <w:rPr>
          <w:rFonts w:hint="default" w:ascii="Times New Roman" w:hAnsi="Times New Roman" w:eastAsia="楷体_GB2312" w:cs="Times New Roman"/>
          <w:color w:val="auto"/>
          <w:spacing w:val="6"/>
          <w:sz w:val="21"/>
          <w:szCs w:val="21"/>
          <w:highlight w:val="none"/>
          <w:lang w:val="en-US" w:eastAsia="zh-CN"/>
        </w:rPr>
        <w:t>合同金额</w:t>
      </w:r>
      <w:r>
        <w:rPr>
          <w:rFonts w:hint="eastAsia" w:eastAsia="楷体_GB2312" w:cs="Times New Roman"/>
          <w:color w:val="auto"/>
          <w:spacing w:val="6"/>
          <w:sz w:val="21"/>
          <w:szCs w:val="21"/>
          <w:highlight w:val="none"/>
          <w:lang w:val="en-US" w:eastAsia="zh-CN"/>
        </w:rPr>
        <w:t>”</w:t>
      </w:r>
      <w:r>
        <w:rPr>
          <w:rFonts w:hint="default" w:ascii="Times New Roman" w:hAnsi="Times New Roman" w:eastAsia="楷体_GB2312" w:cs="Times New Roman"/>
          <w:color w:val="auto"/>
          <w:spacing w:val="6"/>
          <w:sz w:val="21"/>
          <w:szCs w:val="21"/>
          <w:highlight w:val="none"/>
          <w:lang w:val="en-US" w:eastAsia="zh-CN"/>
        </w:rPr>
        <w:t>应填写</w:t>
      </w:r>
      <w:r>
        <w:rPr>
          <w:rFonts w:hint="eastAsia" w:eastAsia="楷体_GB2312" w:cs="Times New Roman"/>
          <w:color w:val="auto"/>
          <w:spacing w:val="6"/>
          <w:sz w:val="21"/>
          <w:szCs w:val="21"/>
          <w:highlight w:val="none"/>
          <w:lang w:val="en-US" w:eastAsia="zh-CN"/>
        </w:rPr>
        <w:t>“</w:t>
      </w:r>
      <w:r>
        <w:rPr>
          <w:rFonts w:hint="default" w:ascii="Times New Roman" w:hAnsi="Times New Roman" w:eastAsia="楷体_GB2312" w:cs="Times New Roman"/>
          <w:color w:val="auto"/>
          <w:spacing w:val="6"/>
          <w:sz w:val="21"/>
          <w:szCs w:val="21"/>
          <w:highlight w:val="none"/>
          <w:lang w:val="en-US" w:eastAsia="zh-CN"/>
        </w:rPr>
        <w:t>2000</w:t>
      </w:r>
      <w:r>
        <w:rPr>
          <w:rFonts w:hint="eastAsia" w:eastAsia="楷体_GB2312" w:cs="Times New Roman"/>
          <w:color w:val="auto"/>
          <w:spacing w:val="6"/>
          <w:sz w:val="21"/>
          <w:szCs w:val="21"/>
          <w:highlight w:val="none"/>
          <w:lang w:val="en-US" w:eastAsia="zh-CN"/>
        </w:rPr>
        <w:t>”</w:t>
      </w:r>
      <w:r>
        <w:rPr>
          <w:rFonts w:hint="default" w:ascii="Times New Roman" w:hAnsi="Times New Roman" w:eastAsia="楷体_GB2312" w:cs="Times New Roman"/>
          <w:color w:val="auto"/>
          <w:spacing w:val="6"/>
          <w:sz w:val="21"/>
          <w:szCs w:val="21"/>
          <w:highlight w:val="none"/>
          <w:lang w:val="en-US" w:eastAsia="zh-CN"/>
        </w:rPr>
        <w:t>万元，</w:t>
      </w:r>
      <w:r>
        <w:rPr>
          <w:rFonts w:hint="default" w:ascii="Times New Roman" w:hAnsi="Times New Roman" w:eastAsia="楷体_GB2312" w:cs="Times New Roman"/>
          <w:color w:val="auto"/>
          <w:spacing w:val="6"/>
          <w:sz w:val="21"/>
          <w:szCs w:val="21"/>
          <w:highlight w:val="none"/>
          <w:lang w:eastAsia="zh-CN"/>
        </w:rPr>
        <w:t>与财政资助额度无关</w:t>
      </w:r>
      <w:r>
        <w:rPr>
          <w:rFonts w:hint="default" w:ascii="Times New Roman" w:hAnsi="Times New Roman" w:eastAsia="楷体_GB2312" w:cs="Times New Roman"/>
          <w:color w:val="auto"/>
          <w:spacing w:val="6"/>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897" w:leftChars="100" w:right="320" w:rightChars="100" w:hanging="577" w:hangingChars="275"/>
        <w:jc w:val="both"/>
        <w:textAlignment w:val="auto"/>
        <w:rPr>
          <w:rFonts w:hint="default" w:ascii="Times New Roman" w:hAnsi="Times New Roman" w:eastAsia="楷体_GB2312" w:cs="Times New Roman"/>
          <w:color w:val="auto"/>
          <w:sz w:val="21"/>
          <w:szCs w:val="21"/>
          <w:highlight w:val="none"/>
          <w:lang w:val="en-US" w:eastAsia="zh-CN"/>
        </w:rPr>
      </w:pPr>
      <w:r>
        <w:rPr>
          <w:rFonts w:hint="default" w:ascii="Times New Roman" w:hAnsi="Times New Roman" w:eastAsia="楷体_GB2312" w:cs="Times New Roman"/>
          <w:color w:val="auto"/>
          <w:sz w:val="21"/>
          <w:szCs w:val="21"/>
          <w:highlight w:val="none"/>
        </w:rPr>
        <w:t xml:space="preserve">    5.</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rPr>
        <w:t>中央财政资助</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lang w:eastAsia="zh-CN"/>
        </w:rPr>
        <w:t>（序号</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lang w:eastAsia="zh-CN"/>
        </w:rPr>
        <w:t>一</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lang w:eastAsia="zh-CN"/>
        </w:rPr>
        <w:t>至</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lang w:eastAsia="zh-CN"/>
        </w:rPr>
        <w:t>三</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lang w:eastAsia="zh-CN"/>
        </w:rPr>
        <w:t>中）</w:t>
      </w:r>
      <w:r>
        <w:rPr>
          <w:rFonts w:hint="default" w:ascii="Times New Roman" w:hAnsi="Times New Roman" w:eastAsia="楷体_GB2312" w:cs="Times New Roman"/>
          <w:color w:val="auto"/>
          <w:sz w:val="21"/>
          <w:szCs w:val="21"/>
          <w:highlight w:val="none"/>
        </w:rPr>
        <w:t>为</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rPr>
        <w:t>财政资助</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rPr>
        <w:t>中受到过中央财政资助的项目取得的科技成果转化后产生的合同数目、合同金额、当年到账金额等数据信息。财政资助包括中央财政资助和地方财政资助，</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rPr>
        <w:t>中央财政资助</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rPr>
        <w:t>的合同数目、合同金额、当年到账金额等数据应小于或等于</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rPr>
        <w:t>财政资助</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rPr>
        <w:t>相关数据。</w:t>
      </w:r>
      <w:r>
        <w:rPr>
          <w:rFonts w:hint="default" w:ascii="Times New Roman" w:hAnsi="Times New Roman" w:eastAsia="楷体_GB2312" w:cs="Times New Roman"/>
          <w:color w:val="auto"/>
          <w:sz w:val="21"/>
          <w:szCs w:val="21"/>
          <w:highlight w:val="none"/>
          <w:lang w:eastAsia="zh-CN"/>
        </w:rPr>
        <w:t>如项目获得中央财政资助额度1</w:t>
      </w:r>
      <w:r>
        <w:rPr>
          <w:rFonts w:hint="default" w:ascii="Times New Roman" w:hAnsi="Times New Roman" w:eastAsia="楷体_GB2312" w:cs="Times New Roman"/>
          <w:color w:val="auto"/>
          <w:sz w:val="21"/>
          <w:szCs w:val="21"/>
          <w:highlight w:val="none"/>
          <w:lang w:val="en-US" w:eastAsia="zh-CN"/>
        </w:rPr>
        <w:t>00</w:t>
      </w:r>
      <w:r>
        <w:rPr>
          <w:rFonts w:hint="default" w:ascii="Times New Roman" w:hAnsi="Times New Roman" w:eastAsia="楷体_GB2312" w:cs="Times New Roman"/>
          <w:color w:val="auto"/>
          <w:sz w:val="21"/>
          <w:szCs w:val="21"/>
          <w:highlight w:val="none"/>
          <w:lang w:eastAsia="zh-CN"/>
        </w:rPr>
        <w:t>万元，产生的科技成果在转化时签订的合同金额为</w:t>
      </w:r>
      <w:r>
        <w:rPr>
          <w:rFonts w:hint="default" w:ascii="Times New Roman" w:hAnsi="Times New Roman" w:eastAsia="楷体_GB2312" w:cs="Times New Roman"/>
          <w:color w:val="auto"/>
          <w:sz w:val="21"/>
          <w:szCs w:val="21"/>
          <w:highlight w:val="none"/>
          <w:lang w:val="en-US" w:eastAsia="zh-CN"/>
        </w:rPr>
        <w:t>2</w:t>
      </w:r>
      <w:r>
        <w:rPr>
          <w:rFonts w:hint="default" w:ascii="Times New Roman" w:hAnsi="Times New Roman" w:eastAsia="楷体_GB2312" w:cs="Times New Roman"/>
          <w:color w:val="auto"/>
          <w:sz w:val="21"/>
          <w:szCs w:val="21"/>
          <w:highlight w:val="none"/>
          <w:lang w:eastAsia="zh-CN"/>
        </w:rPr>
        <w:t>00</w:t>
      </w:r>
      <w:r>
        <w:rPr>
          <w:rFonts w:hint="default" w:ascii="Times New Roman" w:hAnsi="Times New Roman" w:eastAsia="楷体_GB2312" w:cs="Times New Roman"/>
          <w:color w:val="auto"/>
          <w:sz w:val="21"/>
          <w:szCs w:val="21"/>
          <w:highlight w:val="none"/>
          <w:lang w:val="en-US" w:eastAsia="zh-CN"/>
        </w:rPr>
        <w:t>0</w:t>
      </w:r>
      <w:r>
        <w:rPr>
          <w:rFonts w:hint="default" w:ascii="Times New Roman" w:hAnsi="Times New Roman" w:eastAsia="楷体_GB2312" w:cs="Times New Roman"/>
          <w:color w:val="auto"/>
          <w:sz w:val="21"/>
          <w:szCs w:val="21"/>
          <w:highlight w:val="none"/>
          <w:lang w:eastAsia="zh-CN"/>
        </w:rPr>
        <w:t>万元，则</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lang w:eastAsia="zh-CN"/>
        </w:rPr>
        <w:t>合同金额</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lang w:eastAsia="zh-CN"/>
        </w:rPr>
        <w:t>应填写</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lang w:val="en-US" w:eastAsia="zh-CN"/>
        </w:rPr>
        <w:t>20</w:t>
      </w:r>
      <w:r>
        <w:rPr>
          <w:rFonts w:hint="default" w:ascii="Times New Roman" w:hAnsi="Times New Roman" w:eastAsia="楷体_GB2312" w:cs="Times New Roman"/>
          <w:color w:val="auto"/>
          <w:sz w:val="21"/>
          <w:szCs w:val="21"/>
          <w:highlight w:val="none"/>
          <w:lang w:eastAsia="zh-CN"/>
        </w:rPr>
        <w:t>00</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lang w:eastAsia="zh-CN"/>
        </w:rPr>
        <w:t>万元，与中央财政资助额度无关</w:t>
      </w:r>
      <w:r>
        <w:rPr>
          <w:rFonts w:hint="default" w:ascii="Times New Roman" w:hAnsi="Times New Roman" w:eastAsia="楷体_GB2312" w:cs="Times New Roman"/>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897" w:leftChars="100" w:right="320" w:rightChars="100" w:hanging="577" w:hangingChars="275"/>
        <w:jc w:val="both"/>
        <w:textAlignment w:val="auto"/>
        <w:outlineLvl w:val="9"/>
        <w:rPr>
          <w:rFonts w:hint="default" w:ascii="Times New Roman" w:hAnsi="Times New Roman" w:eastAsia="楷体_GB2312" w:cs="Times New Roman"/>
          <w:color w:val="auto"/>
          <w:sz w:val="21"/>
          <w:szCs w:val="21"/>
          <w:highlight w:val="none"/>
          <w:lang w:val="en-US" w:eastAsia="zh-CN"/>
        </w:rPr>
      </w:pPr>
      <w:r>
        <w:rPr>
          <w:rFonts w:hint="default" w:ascii="Times New Roman" w:hAnsi="Times New Roman" w:eastAsia="楷体_GB2312" w:cs="Times New Roman"/>
          <w:color w:val="auto"/>
          <w:sz w:val="21"/>
          <w:szCs w:val="21"/>
          <w:highlight w:val="none"/>
          <w:lang w:val="en-US" w:eastAsia="zh-CN"/>
        </w:rPr>
        <w:t xml:space="preserve">    6. </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获得财政资金资助的科技项目情况</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中：</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944" w:leftChars="295" w:right="320" w:rightChars="100" w:firstLine="52" w:firstLineChars="25"/>
        <w:jc w:val="both"/>
        <w:textAlignment w:val="auto"/>
        <w:outlineLvl w:val="9"/>
        <w:rPr>
          <w:rFonts w:hint="default" w:ascii="Times New Roman" w:hAnsi="Times New Roman" w:eastAsia="楷体_GB2312" w:cs="Times New Roman"/>
          <w:color w:val="auto"/>
          <w:sz w:val="21"/>
          <w:szCs w:val="21"/>
          <w:highlight w:val="none"/>
          <w:lang w:val="en-US" w:eastAsia="zh-CN"/>
        </w:rPr>
      </w:pPr>
      <w:r>
        <w:rPr>
          <w:rFonts w:hint="default" w:ascii="Times New Roman" w:hAnsi="Times New Roman" w:eastAsia="楷体_GB2312" w:cs="Times New Roman"/>
          <w:color w:val="auto"/>
          <w:sz w:val="21"/>
          <w:szCs w:val="21"/>
          <w:highlight w:val="none"/>
          <w:lang w:val="en-US" w:eastAsia="zh-CN"/>
        </w:rPr>
        <w:t>-</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立项批复的科技项目数</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为当年新获立项批复的科技计划项目总数目，</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总计</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部分为中央财政和地方财政资金资助的科技项目数总和，</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中央财政资助</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为中央财政资金资助的科技项目数。</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944" w:leftChars="295" w:right="320" w:rightChars="100" w:firstLine="52" w:firstLineChars="25"/>
        <w:jc w:val="both"/>
        <w:textAlignment w:val="auto"/>
        <w:outlineLvl w:val="9"/>
        <w:rPr>
          <w:rFonts w:hint="default" w:ascii="Times New Roman" w:hAnsi="Times New Roman" w:eastAsia="楷体_GB2312" w:cs="Times New Roman"/>
          <w:color w:val="auto"/>
          <w:sz w:val="21"/>
          <w:szCs w:val="21"/>
          <w:highlight w:val="none"/>
          <w:lang w:val="en-US" w:eastAsia="zh-CN"/>
        </w:rPr>
      </w:pP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立项批复的科技项目（课题）总金额</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仅填写当年新获立项批复的科技计划项目中本单位承担部分涉及金额，其中</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总计</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部分为项目（课题）金额的总和（包括财政资助金额和自筹金额），</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财政资助</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为项目（课题）总金额中财政资金资助金额，</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中央财政资助</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为</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财政资助</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中获得中央财政资金资助金额。</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944" w:leftChars="295" w:right="320" w:rightChars="100" w:firstLine="52" w:firstLineChars="25"/>
        <w:jc w:val="both"/>
        <w:textAlignment w:val="auto"/>
        <w:outlineLvl w:val="9"/>
        <w:rPr>
          <w:rFonts w:hint="default" w:ascii="Times New Roman" w:hAnsi="Times New Roman" w:eastAsia="楷体_GB2312" w:cs="Times New Roman"/>
          <w:color w:val="auto"/>
          <w:spacing w:val="-6"/>
          <w:sz w:val="21"/>
          <w:szCs w:val="21"/>
          <w:highlight w:val="none"/>
          <w:lang w:val="en-US" w:eastAsia="zh-CN"/>
        </w:rPr>
      </w:pP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项目（课题）资金当年到账金额</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为当年新获批和往年获批的科技计划项目（课题）在当年实际到账的金额，</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总计</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部分为财政资助资金和自筹资金的到账金额总和，</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财政资助</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为财政资助的到账金额，</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中央财政资助</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为中央财政资助的到账金额。</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944" w:leftChars="295" w:right="320" w:rightChars="100" w:firstLine="52" w:firstLineChars="25"/>
        <w:jc w:val="both"/>
        <w:textAlignment w:val="auto"/>
        <w:outlineLvl w:val="9"/>
        <w:rPr>
          <w:rFonts w:hint="default" w:ascii="Times New Roman" w:hAnsi="Times New Roman" w:eastAsia="楷体_GB2312" w:cs="Times New Roman"/>
          <w:color w:val="auto"/>
          <w:sz w:val="21"/>
          <w:szCs w:val="21"/>
          <w:highlight w:val="none"/>
        </w:rPr>
      </w:pP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例如，有国家级项目A，承担单位承担部分的总经费1000万元，包括中央财政经费600万元、地方财政经费300万元、</w:t>
      </w:r>
      <w:r>
        <w:rPr>
          <w:rFonts w:hint="default" w:ascii="Times New Roman" w:hAnsi="Times New Roman" w:eastAsia="楷体_GB2312" w:cs="Times New Roman"/>
          <w:color w:val="auto"/>
          <w:sz w:val="21"/>
          <w:szCs w:val="21"/>
          <w:highlight w:val="none"/>
        </w:rPr>
        <w:t>单位自筹及其他渠道资助</w:t>
      </w:r>
      <w:r>
        <w:rPr>
          <w:rFonts w:hint="default" w:ascii="Times New Roman" w:hAnsi="Times New Roman" w:eastAsia="楷体_GB2312" w:cs="Times New Roman"/>
          <w:color w:val="auto"/>
          <w:sz w:val="21"/>
          <w:szCs w:val="21"/>
          <w:highlight w:val="none"/>
          <w:lang w:val="en-US" w:eastAsia="zh-CN"/>
        </w:rPr>
        <w:t>100万元。有省级项目B，项目金额500万元，包括财政经费300万元、单位自筹及其他渠道资助200万元。则</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eastAsia="zh-CN"/>
        </w:rPr>
        <w:t>立项批复的科技计划项目金额</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总计1500万元，财政资助1200万元，中央财政资助600万元。</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897" w:leftChars="100" w:right="320" w:rightChars="100" w:hanging="577" w:hangingChars="275"/>
        <w:textAlignment w:val="auto"/>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highlight w:val="none"/>
        </w:rPr>
        <w:t xml:space="preserve">    </w:t>
      </w:r>
      <w:r>
        <w:rPr>
          <w:rFonts w:hint="default" w:ascii="Times New Roman" w:hAnsi="Times New Roman" w:eastAsia="楷体_GB2312" w:cs="Times New Roman"/>
          <w:color w:val="auto"/>
          <w:sz w:val="21"/>
          <w:szCs w:val="21"/>
          <w:highlight w:val="none"/>
          <w:lang w:eastAsia="zh-CN"/>
        </w:rPr>
        <w:t>7</w:t>
      </w:r>
      <w:r>
        <w:rPr>
          <w:rFonts w:hint="default" w:ascii="Times New Roman" w:hAnsi="Times New Roman" w:eastAsia="楷体_GB2312" w:cs="Times New Roman"/>
          <w:color w:val="auto"/>
          <w:sz w:val="21"/>
          <w:szCs w:val="21"/>
          <w:highlight w:val="none"/>
        </w:rPr>
        <w:t>.</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rPr>
        <w:t>其他相关指标</w:t>
      </w:r>
      <w:r>
        <w:rPr>
          <w:rFonts w:hint="eastAsia" w:eastAsia="楷体_GB2312" w:cs="Times New Roman"/>
          <w:color w:val="auto"/>
          <w:sz w:val="21"/>
          <w:szCs w:val="21"/>
          <w:highlight w:val="none"/>
          <w:lang w:eastAsia="zh-CN"/>
        </w:rPr>
        <w:t>”</w:t>
      </w:r>
      <w:r>
        <w:rPr>
          <w:rFonts w:hint="default" w:ascii="Times New Roman" w:hAnsi="Times New Roman" w:eastAsia="楷体_GB2312" w:cs="Times New Roman"/>
          <w:color w:val="auto"/>
          <w:sz w:val="21"/>
          <w:szCs w:val="21"/>
          <w:highlight w:val="none"/>
        </w:rPr>
        <w:t>由单位填报截至当年年底的机构、平台、人员</w:t>
      </w:r>
      <w:r>
        <w:rPr>
          <w:rFonts w:hint="default" w:ascii="Times New Roman" w:hAnsi="Times New Roman" w:eastAsia="楷体_GB2312" w:cs="Times New Roman"/>
          <w:color w:val="auto"/>
          <w:sz w:val="21"/>
          <w:szCs w:val="21"/>
        </w:rPr>
        <w:t>、公司的数量。</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897" w:leftChars="100" w:right="320" w:rightChars="100" w:hanging="577" w:hangingChars="275"/>
        <w:textAlignment w:val="auto"/>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rPr>
        <w:t xml:space="preserve">    </w:t>
      </w:r>
      <w:r>
        <w:rPr>
          <w:rFonts w:hint="default" w:ascii="Times New Roman" w:hAnsi="Times New Roman" w:eastAsia="楷体_GB2312" w:cs="Times New Roman"/>
          <w:color w:val="auto"/>
          <w:sz w:val="21"/>
          <w:szCs w:val="21"/>
          <w:lang w:val="en-US" w:eastAsia="zh-CN"/>
        </w:rPr>
        <w:t>8</w:t>
      </w:r>
      <w:r>
        <w:rPr>
          <w:rFonts w:hint="default" w:ascii="Times New Roman" w:hAnsi="Times New Roman" w:eastAsia="楷体_GB2312" w:cs="Times New Roman"/>
          <w:color w:val="auto"/>
          <w:sz w:val="21"/>
          <w:szCs w:val="21"/>
        </w:rPr>
        <w:t>.</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单位认为其他需报告指标</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由单位自行判断填报，可以填标准制定等相关情况。</w:t>
      </w:r>
    </w:p>
    <w:p>
      <w:pPr>
        <w:keepNext w:val="0"/>
        <w:keepLines w:val="0"/>
        <w:pageBreakBefore w:val="0"/>
        <w:widowControl w:val="0"/>
        <w:kinsoku/>
        <w:wordWrap/>
        <w:overflowPunct/>
        <w:topLinePunct w:val="0"/>
        <w:autoSpaceDE/>
        <w:autoSpaceDN/>
        <w:bidi w:val="0"/>
        <w:adjustRightInd w:val="0"/>
        <w:snapToGrid w:val="0"/>
        <w:spacing w:beforeLines="0" w:line="300" w:lineRule="auto"/>
        <w:ind w:left="897" w:leftChars="100" w:right="320" w:rightChars="100" w:hanging="577" w:hangingChars="275"/>
        <w:textAlignment w:val="auto"/>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9</w:t>
      </w:r>
      <w:r>
        <w:rPr>
          <w:rFonts w:hint="default" w:ascii="Times New Roman" w:hAnsi="Times New Roman" w:eastAsia="楷体_GB2312" w:cs="Times New Roman"/>
          <w:color w:val="auto"/>
          <w:sz w:val="21"/>
          <w:szCs w:val="21"/>
        </w:rPr>
        <w:t>.</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表中</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的地方不用填内容。</w:t>
      </w:r>
    </w:p>
    <w:p>
      <w:pPr>
        <w:keepNext w:val="0"/>
        <w:keepLines w:val="0"/>
        <w:pageBreakBefore w:val="0"/>
        <w:widowControl w:val="0"/>
        <w:kinsoku/>
        <w:wordWrap/>
        <w:overflowPunct/>
        <w:topLinePunct w:val="0"/>
        <w:autoSpaceDE/>
        <w:autoSpaceDN/>
        <w:bidi w:val="0"/>
        <w:adjustRightInd w:val="0"/>
        <w:snapToGrid w:val="0"/>
        <w:spacing w:line="264" w:lineRule="auto"/>
        <w:ind w:left="0" w:leftChars="0" w:right="320" w:rightChars="100" w:firstLine="480" w:firstLineChars="200"/>
        <w:textAlignment w:val="auto"/>
        <w:rPr>
          <w:rFonts w:hint="default" w:ascii="Times New Roman" w:hAnsi="Times New Roman" w:eastAsia="楷体_GB2312" w:cs="Times New Roman"/>
          <w:color w:val="auto"/>
          <w:sz w:val="24"/>
          <w:szCs w:val="24"/>
        </w:rPr>
      </w:pPr>
      <w:r>
        <w:rPr>
          <w:rFonts w:hint="default" w:ascii="Times New Roman" w:hAnsi="Times New Roman" w:eastAsia="楷体_GB2312" w:cs="Times New Roman"/>
          <w:color w:val="auto"/>
          <w:sz w:val="24"/>
          <w:szCs w:val="24"/>
        </w:rPr>
        <w:t>（二）科技成果转化清单</w:t>
      </w:r>
    </w:p>
    <w:p>
      <w:pPr>
        <w:bidi w:val="0"/>
        <w:rPr>
          <w:rFonts w:hint="default"/>
        </w:rPr>
      </w:pP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表1：以转让、许可、作价投资方式转化成果</w:t>
      </w: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rPr>
          <w:rFonts w:hint="default" w:ascii="Times New Roman" w:hAnsi="Times New Roman" w:eastAsia="黑体" w:cs="Times New Roman"/>
          <w:color w:val="auto"/>
          <w:sz w:val="10"/>
          <w:szCs w:val="10"/>
        </w:rPr>
      </w:pPr>
    </w:p>
    <w:tbl>
      <w:tblPr>
        <w:tblStyle w:val="10"/>
        <w:tblW w:w="83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8" w:type="dxa"/>
          <w:left w:w="28" w:type="dxa"/>
          <w:bottom w:w="28" w:type="dxa"/>
          <w:right w:w="28" w:type="dxa"/>
        </w:tblCellMar>
      </w:tblPr>
      <w:tblGrid>
        <w:gridCol w:w="299"/>
        <w:gridCol w:w="716"/>
        <w:gridCol w:w="510"/>
        <w:gridCol w:w="690"/>
        <w:gridCol w:w="690"/>
        <w:gridCol w:w="480"/>
        <w:gridCol w:w="480"/>
        <w:gridCol w:w="480"/>
        <w:gridCol w:w="480"/>
        <w:gridCol w:w="750"/>
        <w:gridCol w:w="652"/>
        <w:gridCol w:w="653"/>
        <w:gridCol w:w="825"/>
        <w:gridCol w:w="68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510" w:hRule="atLeast"/>
          <w:jc w:val="center"/>
        </w:trPr>
        <w:tc>
          <w:tcPr>
            <w:tcW w:w="2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序号</w:t>
            </w:r>
          </w:p>
        </w:tc>
        <w:tc>
          <w:tcPr>
            <w:tcW w:w="71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合同</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名称</w:t>
            </w:r>
          </w:p>
        </w:tc>
        <w:tc>
          <w:tcPr>
            <w:tcW w:w="51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对应成果名称</w:t>
            </w:r>
          </w:p>
        </w:tc>
        <w:tc>
          <w:tcPr>
            <w:tcW w:w="69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合同</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金额</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lang w:eastAsia="zh-CN"/>
              </w:rPr>
            </w:pPr>
            <w:r>
              <w:rPr>
                <w:rFonts w:hint="default" w:ascii="Times New Roman" w:hAnsi="Times New Roman" w:eastAsia="黑体" w:cs="Times New Roman"/>
                <w:color w:val="auto"/>
                <w:w w:val="90"/>
                <w:sz w:val="18"/>
                <w:szCs w:val="18"/>
                <w:lang w:eastAsia="zh-CN"/>
              </w:rPr>
              <w:t>（</w:t>
            </w:r>
            <w:r>
              <w:rPr>
                <w:rFonts w:hint="default" w:ascii="Times New Roman" w:hAnsi="Times New Roman" w:eastAsia="黑体" w:cs="Times New Roman"/>
                <w:color w:val="auto"/>
                <w:w w:val="90"/>
                <w:sz w:val="18"/>
                <w:szCs w:val="18"/>
              </w:rPr>
              <w:t>万元</w:t>
            </w:r>
            <w:r>
              <w:rPr>
                <w:rFonts w:hint="default" w:ascii="Times New Roman" w:hAnsi="Times New Roman" w:eastAsia="黑体" w:cs="Times New Roman"/>
                <w:color w:val="auto"/>
                <w:w w:val="90"/>
                <w:sz w:val="18"/>
                <w:szCs w:val="18"/>
                <w:lang w:eastAsia="zh-CN"/>
              </w:rPr>
              <w:t>）</w:t>
            </w:r>
          </w:p>
        </w:tc>
        <w:tc>
          <w:tcPr>
            <w:tcW w:w="69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当年</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到账</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金额</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lang w:eastAsia="zh-CN"/>
              </w:rPr>
            </w:pPr>
            <w:r>
              <w:rPr>
                <w:rFonts w:hint="default" w:ascii="Times New Roman" w:hAnsi="Times New Roman" w:eastAsia="黑体" w:cs="Times New Roman"/>
                <w:color w:val="auto"/>
                <w:w w:val="90"/>
                <w:sz w:val="18"/>
                <w:szCs w:val="18"/>
                <w:lang w:eastAsia="zh-CN"/>
              </w:rPr>
              <w:t>（万元）</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转化方式</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定价方式</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是否评估</w:t>
            </w: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转化去向</w:t>
            </w:r>
          </w:p>
        </w:tc>
        <w:tc>
          <w:tcPr>
            <w:tcW w:w="7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转化至</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单位</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名称</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18"/>
                <w:szCs w:val="18"/>
                <w:lang w:eastAsia="zh-CN"/>
              </w:rPr>
              <w:t>（选填）</w:t>
            </w:r>
          </w:p>
        </w:tc>
        <w:tc>
          <w:tcPr>
            <w:tcW w:w="65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转化至单位所在地</w:t>
            </w:r>
          </w:p>
        </w:tc>
        <w:tc>
          <w:tcPr>
            <w:tcW w:w="6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该成果应用的行业</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w w:val="90"/>
                <w:sz w:val="21"/>
                <w:szCs w:val="21"/>
              </w:rPr>
            </w:pPr>
            <w:r>
              <w:rPr>
                <w:rFonts w:hint="default" w:ascii="Times New Roman" w:hAnsi="Times New Roman" w:eastAsia="黑体" w:cs="Times New Roman"/>
                <w:color w:val="auto"/>
                <w:w w:val="90"/>
                <w:sz w:val="21"/>
                <w:szCs w:val="21"/>
              </w:rPr>
              <w:t>领域</w:t>
            </w:r>
          </w:p>
        </w:tc>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黑体" w:cs="Times New Roman"/>
                <w:color w:val="auto"/>
                <w:w w:val="90"/>
                <w:sz w:val="21"/>
                <w:szCs w:val="21"/>
                <w:lang w:eastAsia="zh-CN"/>
              </w:rPr>
            </w:pPr>
            <w:r>
              <w:rPr>
                <w:rFonts w:hint="default" w:ascii="Times New Roman" w:hAnsi="Times New Roman" w:eastAsia="黑体" w:cs="Times New Roman"/>
                <w:color w:val="auto"/>
                <w:w w:val="90"/>
                <w:sz w:val="21"/>
                <w:szCs w:val="21"/>
                <w:lang w:eastAsia="zh-CN"/>
              </w:rPr>
              <w:t>受财政</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黑体" w:cs="Times New Roman"/>
                <w:color w:val="auto"/>
                <w:w w:val="90"/>
                <w:sz w:val="21"/>
                <w:szCs w:val="21"/>
                <w:lang w:eastAsia="zh-CN"/>
              </w:rPr>
            </w:pPr>
            <w:r>
              <w:rPr>
                <w:rFonts w:hint="default" w:ascii="Times New Roman" w:hAnsi="Times New Roman" w:eastAsia="黑体" w:cs="Times New Roman"/>
                <w:color w:val="auto"/>
                <w:w w:val="90"/>
                <w:sz w:val="21"/>
                <w:szCs w:val="21"/>
                <w:lang w:eastAsia="zh-CN"/>
              </w:rPr>
              <w:t>资助</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黑体" w:cs="Times New Roman"/>
                <w:color w:val="auto"/>
                <w:w w:val="90"/>
                <w:sz w:val="18"/>
                <w:szCs w:val="18"/>
                <w:lang w:eastAsia="zh-CN"/>
              </w:rPr>
            </w:pPr>
            <w:r>
              <w:rPr>
                <w:rFonts w:hint="default" w:ascii="Times New Roman" w:hAnsi="Times New Roman" w:eastAsia="黑体" w:cs="Times New Roman"/>
                <w:color w:val="auto"/>
                <w:w w:val="90"/>
                <w:sz w:val="21"/>
                <w:szCs w:val="21"/>
                <w:lang w:eastAsia="zh-CN"/>
              </w:rPr>
              <w:t>类型</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黑体" w:cs="Times New Roman"/>
                <w:color w:val="auto"/>
                <w:w w:val="90"/>
                <w:sz w:val="18"/>
                <w:szCs w:val="18"/>
                <w:lang w:eastAsia="zh-CN"/>
              </w:rPr>
            </w:pPr>
            <w:r>
              <w:rPr>
                <w:rFonts w:hint="default" w:ascii="Times New Roman" w:hAnsi="Times New Roman" w:eastAsia="黑体" w:cs="Times New Roman"/>
                <w:color w:val="auto"/>
                <w:w w:val="90"/>
                <w:sz w:val="18"/>
                <w:szCs w:val="18"/>
                <w:lang w:eastAsia="zh-CN"/>
              </w:rPr>
              <w:t>（可多选）</w:t>
            </w:r>
          </w:p>
        </w:tc>
        <w:tc>
          <w:tcPr>
            <w:tcW w:w="6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黑体" w:cs="Times New Roman"/>
                <w:color w:val="auto"/>
                <w:w w:val="90"/>
                <w:sz w:val="18"/>
                <w:szCs w:val="18"/>
                <w:lang w:eastAsia="zh-CN"/>
              </w:rPr>
            </w:pPr>
            <w:r>
              <w:rPr>
                <w:rFonts w:hint="default" w:ascii="Times New Roman" w:hAnsi="Times New Roman" w:eastAsia="黑体" w:cs="Times New Roman"/>
                <w:color w:val="auto"/>
                <w:w w:val="90"/>
                <w:sz w:val="21"/>
                <w:szCs w:val="21"/>
                <w:lang w:eastAsia="zh-CN"/>
              </w:rPr>
              <w:t>是否为当年新签订合同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510" w:hRule="atLeast"/>
          <w:jc w:val="center"/>
        </w:trPr>
        <w:tc>
          <w:tcPr>
            <w:tcW w:w="2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r>
              <w:rPr>
                <w:rFonts w:hint="default" w:ascii="Times New Roman" w:hAnsi="Times New Roman" w:cs="Times New Roman"/>
                <w:color w:val="auto"/>
                <w:w w:val="90"/>
                <w:sz w:val="21"/>
                <w:szCs w:val="21"/>
              </w:rPr>
              <w:t>1</w:t>
            </w:r>
          </w:p>
        </w:tc>
        <w:tc>
          <w:tcPr>
            <w:tcW w:w="71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51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69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69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7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65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lang w:eastAsia="zh-CN"/>
              </w:rPr>
            </w:pPr>
          </w:p>
        </w:tc>
        <w:tc>
          <w:tcPr>
            <w:tcW w:w="6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6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510" w:hRule="atLeast"/>
          <w:jc w:val="center"/>
        </w:trPr>
        <w:tc>
          <w:tcPr>
            <w:tcW w:w="2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r>
              <w:rPr>
                <w:rFonts w:hint="default" w:ascii="Times New Roman" w:hAnsi="Times New Roman" w:cs="Times New Roman"/>
                <w:color w:val="auto"/>
                <w:w w:val="90"/>
                <w:sz w:val="21"/>
                <w:szCs w:val="21"/>
              </w:rPr>
              <w:t>2</w:t>
            </w:r>
          </w:p>
        </w:tc>
        <w:tc>
          <w:tcPr>
            <w:tcW w:w="71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r>
              <w:rPr>
                <w:rFonts w:hint="default" w:ascii="Times New Roman" w:hAnsi="Times New Roman" w:cs="Times New Roman"/>
                <w:color w:val="auto"/>
                <w:spacing w:val="-17"/>
                <w:w w:val="90"/>
                <w:sz w:val="18"/>
                <w:szCs w:val="18"/>
              </w:rPr>
              <w:t>（可加页）</w:t>
            </w:r>
          </w:p>
        </w:tc>
        <w:tc>
          <w:tcPr>
            <w:tcW w:w="51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69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69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4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7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65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65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8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c>
          <w:tcPr>
            <w:tcW w:w="68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w w:val="90"/>
                <w:sz w:val="21"/>
                <w:szCs w:val="21"/>
              </w:rPr>
            </w:pPr>
          </w:p>
        </w:tc>
      </w:tr>
    </w:tbl>
    <w:p>
      <w:pPr>
        <w:keepNext w:val="0"/>
        <w:keepLines w:val="0"/>
        <w:pageBreakBefore w:val="0"/>
        <w:widowControl w:val="0"/>
        <w:kinsoku/>
        <w:wordWrap/>
        <w:overflowPunct/>
        <w:topLinePunct w:val="0"/>
        <w:autoSpaceDE/>
        <w:autoSpaceDN/>
        <w:bidi w:val="0"/>
        <w:adjustRightInd w:val="0"/>
        <w:snapToGrid w:val="0"/>
        <w:spacing w:before="147" w:beforeLines="25" w:line="312" w:lineRule="auto"/>
        <w:ind w:left="1002" w:leftChars="100" w:right="320" w:rightChars="10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黑体" w:cs="Times New Roman"/>
          <w:color w:val="auto"/>
          <w:sz w:val="21"/>
          <w:szCs w:val="21"/>
        </w:rPr>
        <w:t>注：</w:t>
      </w:r>
      <w:r>
        <w:rPr>
          <w:rFonts w:hint="default" w:ascii="Times New Roman" w:hAnsi="Times New Roman" w:eastAsia="楷体_GB2312" w:cs="Times New Roman"/>
          <w:color w:val="auto"/>
          <w:sz w:val="21"/>
          <w:szCs w:val="21"/>
        </w:rPr>
        <w:t>1.</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本表中需填写如下两方面相关信息：</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312" w:lineRule="auto"/>
        <w:ind w:left="996" w:leftChars="295" w:right="320" w:rightChars="100" w:hanging="52" w:hangingChars="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rPr>
        <w:t>当年新签订的以转让、许可、作价投资方式转化成果的合同相关信息；</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0" w:beforeLines="0" w:line="312" w:lineRule="auto"/>
        <w:ind w:left="996" w:leftChars="295" w:right="320" w:rightChars="100" w:hanging="52" w:hangingChars="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rPr>
        <w:t>往年签订但当年有到账的以转让、许可、作价投资方式转化成果的合同相关信息。</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002" w:leftChars="100" w:right="320" w:rightChars="10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2.</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对应成果名称</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为某项已签订合同涉及的科技成果名称，若某项合同含有成果数太多，可列举几项主要成果名称，如：XX等XX项成果。</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002" w:leftChars="100" w:right="320" w:rightChars="100" w:hanging="682" w:hangingChars="325"/>
        <w:textAlignment w:val="auto"/>
        <w:outlineLvl w:val="9"/>
        <w:rPr>
          <w:rFonts w:hint="default" w:ascii="Times New Roman" w:hAnsi="Times New Roman" w:eastAsia="楷体_GB2312" w:cs="Times New Roman"/>
          <w:color w:val="auto"/>
          <w:spacing w:val="4"/>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3.</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pacing w:val="4"/>
          <w:sz w:val="21"/>
          <w:szCs w:val="21"/>
        </w:rPr>
        <w:t>合同金额</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为某项成果转化当年新签订的单项合同金额，若某项成果转化当年签订多份合同，则应列出每份合同相关信息。</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合同金额</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一项只填写当年新签订的合同金额信息，往年签订的成果转化合同当年发生到账的，</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合同金额</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一项</w:t>
      </w:r>
      <w:r>
        <w:rPr>
          <w:rFonts w:hint="default" w:ascii="Times New Roman" w:hAnsi="Times New Roman" w:eastAsia="楷体_GB2312" w:cs="Times New Roman"/>
          <w:color w:val="auto"/>
          <w:spacing w:val="4"/>
          <w:sz w:val="21"/>
          <w:szCs w:val="21"/>
          <w:lang w:val="en-US" w:eastAsia="zh-CN"/>
        </w:rPr>
        <w:t>填</w:t>
      </w:r>
      <w:r>
        <w:rPr>
          <w:rFonts w:hint="eastAsia" w:eastAsia="楷体_GB2312" w:cs="Times New Roman"/>
          <w:color w:val="auto"/>
          <w:spacing w:val="4"/>
          <w:sz w:val="21"/>
          <w:szCs w:val="21"/>
          <w:lang w:val="en-US" w:eastAsia="zh-CN"/>
        </w:rPr>
        <w:t>“</w:t>
      </w:r>
      <w:r>
        <w:rPr>
          <w:rFonts w:hint="default" w:ascii="Times New Roman" w:hAnsi="Times New Roman" w:eastAsia="楷体_GB2312" w:cs="Times New Roman"/>
          <w:color w:val="auto"/>
          <w:spacing w:val="4"/>
          <w:sz w:val="21"/>
          <w:szCs w:val="21"/>
          <w:lang w:val="en-US" w:eastAsia="zh-CN"/>
        </w:rPr>
        <w:t>0</w:t>
      </w:r>
      <w:r>
        <w:rPr>
          <w:rFonts w:hint="eastAsia" w:eastAsia="楷体_GB2312" w:cs="Times New Roman"/>
          <w:color w:val="auto"/>
          <w:spacing w:val="4"/>
          <w:sz w:val="21"/>
          <w:szCs w:val="21"/>
          <w:lang w:val="en-US" w:eastAsia="zh-CN"/>
        </w:rPr>
        <w:t>”</w:t>
      </w:r>
      <w:r>
        <w:rPr>
          <w:rFonts w:hint="default" w:ascii="Times New Roman" w:hAnsi="Times New Roman" w:eastAsia="楷体_GB2312" w:cs="Times New Roman"/>
          <w:color w:val="auto"/>
          <w:spacing w:val="4"/>
          <w:sz w:val="21"/>
          <w:szCs w:val="21"/>
        </w:rPr>
        <w:t>。若有以销售提成方式约定科技成果转化金额的情况，例如</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5</w:t>
      </w:r>
      <w:r>
        <w:rPr>
          <w:rFonts w:hint="default" w:ascii="Times New Roman" w:hAnsi="Times New Roman" w:eastAsia="楷体_GB2312" w:cs="Times New Roman"/>
          <w:color w:val="auto"/>
          <w:spacing w:val="4"/>
          <w:sz w:val="21"/>
          <w:szCs w:val="21"/>
          <w:lang w:val="en-US" w:eastAsia="zh-CN"/>
        </w:rPr>
        <w:t>0</w:t>
      </w:r>
      <w:r>
        <w:rPr>
          <w:rFonts w:hint="default" w:ascii="Times New Roman" w:hAnsi="Times New Roman" w:eastAsia="楷体_GB2312" w:cs="Times New Roman"/>
          <w:color w:val="auto"/>
          <w:spacing w:val="4"/>
          <w:sz w:val="21"/>
          <w:szCs w:val="21"/>
        </w:rPr>
        <w:t>0万元+专利技术药品年销售额3％</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30万元+每套设备5万元销售提成</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等，则</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合同金额</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仅填写</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5</w:t>
      </w:r>
      <w:r>
        <w:rPr>
          <w:rFonts w:hint="default" w:ascii="Times New Roman" w:hAnsi="Times New Roman" w:eastAsia="楷体_GB2312" w:cs="Times New Roman"/>
          <w:color w:val="auto"/>
          <w:spacing w:val="4"/>
          <w:sz w:val="21"/>
          <w:szCs w:val="21"/>
          <w:lang w:val="en-US" w:eastAsia="zh-CN"/>
        </w:rPr>
        <w:t>0</w:t>
      </w:r>
      <w:r>
        <w:rPr>
          <w:rFonts w:hint="default" w:ascii="Times New Roman" w:hAnsi="Times New Roman" w:eastAsia="楷体_GB2312" w:cs="Times New Roman"/>
          <w:color w:val="auto"/>
          <w:spacing w:val="4"/>
          <w:sz w:val="21"/>
          <w:szCs w:val="21"/>
        </w:rPr>
        <w:t>0</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万元、</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30</w:t>
      </w:r>
      <w:r>
        <w:rPr>
          <w:rFonts w:hint="eastAsia" w:eastAsia="楷体_GB2312" w:cs="Times New Roman"/>
          <w:color w:val="auto"/>
          <w:spacing w:val="4"/>
          <w:sz w:val="21"/>
          <w:szCs w:val="21"/>
          <w:lang w:eastAsia="zh-CN"/>
        </w:rPr>
        <w:t>”</w:t>
      </w:r>
      <w:r>
        <w:rPr>
          <w:rFonts w:hint="default" w:ascii="Times New Roman" w:hAnsi="Times New Roman" w:eastAsia="楷体_GB2312" w:cs="Times New Roman"/>
          <w:color w:val="auto"/>
          <w:spacing w:val="4"/>
          <w:sz w:val="21"/>
          <w:szCs w:val="21"/>
        </w:rPr>
        <w:t>万元即可，无需折算销售提成。</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002" w:leftChars="100" w:right="320" w:rightChars="100" w:hanging="682" w:hangingChars="325"/>
        <w:textAlignment w:val="auto"/>
        <w:outlineLvl w:val="9"/>
        <w:rPr>
          <w:rFonts w:hint="default" w:ascii="Times New Roman" w:hAnsi="Times New Roman" w:eastAsia="楷体_GB2312" w:cs="Times New Roman"/>
          <w:color w:val="auto"/>
          <w:sz w:val="21"/>
          <w:szCs w:val="21"/>
          <w:highlight w:val="yellow"/>
          <w:lang w:val="en-US" w:eastAsia="zh-CN"/>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4.</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当年到账金额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为某项成果转化当年新签订或往年签订的合同在当年实际到账金额，若某项成果转化当年有多份合同到账，则应列出每份合同当年到账相关信息，请填写具体数字。</w:t>
      </w:r>
      <w:r>
        <w:rPr>
          <w:rFonts w:hint="default" w:ascii="Times New Roman" w:hAnsi="Times New Roman" w:eastAsia="楷体_GB2312" w:cs="Times New Roman"/>
          <w:color w:val="auto"/>
          <w:sz w:val="21"/>
          <w:szCs w:val="21"/>
          <w:highlight w:val="none"/>
          <w:lang w:val="en-US" w:eastAsia="zh-CN"/>
        </w:rPr>
        <w:t>以作价投资方式转化科技成果的当年到账金额只填写实际现金到账金额，如分红、股权退出变现。</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002" w:leftChars="100" w:right="320" w:rightChars="100" w:hanging="682" w:hangingChars="325"/>
        <w:textAlignment w:val="auto"/>
        <w:outlineLvl w:val="9"/>
        <w:rPr>
          <w:rFonts w:hint="default" w:ascii="Times New Roman" w:hAnsi="Times New Roman" w:eastAsia="楷体_GB2312" w:cs="Times New Roman"/>
          <w:color w:val="auto"/>
          <w:spacing w:val="5"/>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5.</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pacing w:val="5"/>
          <w:sz w:val="21"/>
          <w:szCs w:val="21"/>
        </w:rPr>
        <w:t>转化方式</w:t>
      </w:r>
      <w:r>
        <w:rPr>
          <w:rFonts w:hint="eastAsia"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为某项已签订合同中约定的转化方式，如若是单一转化方式，请选</w:t>
      </w:r>
      <w:r>
        <w:rPr>
          <w:rFonts w:hint="eastAsia"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转让</w:t>
      </w:r>
      <w:r>
        <w:rPr>
          <w:rFonts w:hint="eastAsia"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w:t>
      </w:r>
      <w:r>
        <w:rPr>
          <w:rFonts w:hint="eastAsia"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许可</w:t>
      </w:r>
      <w:r>
        <w:rPr>
          <w:rFonts w:hint="eastAsia"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或</w:t>
      </w:r>
      <w:r>
        <w:rPr>
          <w:rFonts w:hint="eastAsia"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作价投资</w:t>
      </w:r>
      <w:r>
        <w:rPr>
          <w:rFonts w:hint="eastAsia"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，如若是多种转化方式的组合，请选择</w:t>
      </w:r>
      <w:r>
        <w:rPr>
          <w:rFonts w:hint="eastAsia"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其他</w:t>
      </w:r>
      <w:r>
        <w:rPr>
          <w:rFonts w:hint="eastAsia"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002" w:leftChars="100" w:right="320" w:rightChars="10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6.</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是否评估</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指采取协议定价、挂牌交易、拍卖以及其他定价方式对科技成果定价时，是否进行过评估。</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002" w:leftChars="100" w:right="320" w:rightChars="10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7.</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pacing w:val="5"/>
          <w:sz w:val="21"/>
          <w:szCs w:val="21"/>
          <w:lang w:eastAsia="zh-CN"/>
        </w:rPr>
        <w:t>转化去向</w:t>
      </w:r>
      <w:r>
        <w:rPr>
          <w:rFonts w:hint="eastAsia" w:ascii="Times New Roman" w:hAnsi="Times New Roman"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lang w:eastAsia="zh-CN"/>
        </w:rPr>
        <w:t>请选择该项合同中对应科技成果的转化去向。</w:t>
      </w:r>
      <w:r>
        <w:rPr>
          <w:rFonts w:hint="eastAsia" w:ascii="Times New Roman" w:hAnsi="Times New Roman"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中小微企业</w:t>
      </w:r>
      <w:r>
        <w:rPr>
          <w:rFonts w:hint="eastAsia" w:ascii="Times New Roman" w:hAnsi="Times New Roman"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和</w:t>
      </w:r>
      <w:r>
        <w:rPr>
          <w:rFonts w:hint="eastAsia" w:ascii="Times New Roman" w:hAnsi="Times New Roman"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大型企业</w:t>
      </w:r>
      <w:r>
        <w:rPr>
          <w:rFonts w:hint="eastAsia" w:ascii="Times New Roman" w:hAnsi="Times New Roman"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标准参考《国家统计局关于印发统计上大中小微型企业划分办法的通知》（国统字〔2011〕75号），</w:t>
      </w:r>
      <w:r>
        <w:rPr>
          <w:rFonts w:hint="eastAsia" w:ascii="Times New Roman" w:hAnsi="Times New Roman"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国有企业</w:t>
      </w:r>
      <w:r>
        <w:rPr>
          <w:rFonts w:hint="eastAsia" w:ascii="Times New Roman" w:hAnsi="Times New Roman"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标准参考《关于划分企业登记注册类型的规定调整的通知》（国统字〔2011〕86号），非国有企业均归类为</w:t>
      </w:r>
      <w:r>
        <w:rPr>
          <w:rFonts w:hint="eastAsia" w:ascii="Times New Roman" w:hAnsi="Times New Roman"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其他企业</w:t>
      </w:r>
      <w:r>
        <w:rPr>
          <w:rFonts w:hint="eastAsia" w:ascii="Times New Roman" w:hAnsi="Times New Roman" w:eastAsia="楷体_GB2312" w:cs="Times New Roman"/>
          <w:color w:val="auto"/>
          <w:spacing w:val="5"/>
          <w:sz w:val="21"/>
          <w:szCs w:val="21"/>
          <w:lang w:eastAsia="zh-CN"/>
        </w:rPr>
        <w:t>”</w:t>
      </w:r>
      <w:r>
        <w:rPr>
          <w:rFonts w:hint="default" w:ascii="Times New Roman" w:hAnsi="Times New Roman" w:eastAsia="楷体_GB2312" w:cs="Times New Roman"/>
          <w:color w:val="auto"/>
          <w:spacing w:val="5"/>
          <w:sz w:val="21"/>
          <w:szCs w:val="21"/>
        </w:rPr>
        <w:t>。</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002" w:leftChars="100" w:right="320" w:rightChars="10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8.</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转化至单位名称</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为选填项，若转化至单位名称较敏感，可不填。</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002" w:leftChars="100" w:right="320" w:rightChars="10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9.</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该成果应用的行业领域</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标准参考《国民经济行业分类与代码》（GB/T 4754-2017）中门类分类标准。</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002" w:leftChars="100" w:right="320" w:rightChars="10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10.</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受财政资助类型</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为某项合同内对应成果在研发及转化过程中受中央财政及地方财政资助类型。受</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中央财政</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资助类型可多选，若受五大类科技计划之外的中央财政资助则选</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其他</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，并填写具体科技计划名称，若未受到中央财政资助，请选</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无</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；若受到地方财政资助，请填写受</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地方财政资助科技计划名称</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，或未受到地方财政资助，请填写</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无</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107" w:leftChars="100" w:right="320" w:rightChars="100" w:hanging="787" w:hangingChars="37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11.</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本表当年新签订合同的合同项数与</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（一）科技成果转移转化总体情况</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中的一、二、三项小计</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合同总项数</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相同。</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107" w:leftChars="100" w:right="320" w:rightChars="100" w:hanging="787" w:hangingChars="37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12.</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本表当年新签订合同的</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合同金额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的合计与</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（一）科技成果转移转化总体情况</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中的一、二、三项小计</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合同总金额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相同。</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107" w:leftChars="100" w:right="320" w:rightChars="100" w:hanging="787" w:hangingChars="37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13.</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本表当年新签订合同的</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受财政资助类型</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中财政资助金额、中央财政资助金额分别与</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（一）科技成果转移转化总体情况</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中的一、二、三项小计对应</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财政资助</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中央财政资助</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金额相同。</w:t>
      </w:r>
    </w:p>
    <w:p>
      <w:pPr>
        <w:keepNext w:val="0"/>
        <w:keepLines w:val="0"/>
        <w:pageBreakBefore w:val="0"/>
        <w:widowControl w:val="0"/>
        <w:kinsoku/>
        <w:wordWrap/>
        <w:overflowPunct/>
        <w:topLinePunct w:val="0"/>
        <w:autoSpaceDE/>
        <w:autoSpaceDN/>
        <w:bidi w:val="0"/>
        <w:adjustRightInd w:val="0"/>
        <w:snapToGrid w:val="0"/>
        <w:spacing w:beforeLines="0" w:line="312" w:lineRule="auto"/>
        <w:ind w:left="1107" w:leftChars="100" w:right="320" w:rightChars="100" w:hanging="787" w:hangingChars="375"/>
        <w:textAlignment w:val="auto"/>
        <w:outlineLvl w:val="9"/>
        <w:rPr>
          <w:rFonts w:hint="default" w:ascii="Times New Roman" w:hAnsi="Times New Roman" w:eastAsia="楷体_GB2312" w:cs="Times New Roman"/>
          <w:color w:val="auto"/>
          <w:sz w:val="21"/>
          <w:szCs w:val="21"/>
          <w:lang w:val="en-US" w:eastAsia="zh-CN"/>
        </w:rPr>
      </w:pPr>
      <w:r>
        <w:rPr>
          <w:rFonts w:hint="default" w:ascii="Times New Roman" w:hAnsi="Times New Roman" w:eastAsia="楷体_GB2312" w:cs="Times New Roman"/>
          <w:color w:val="auto"/>
          <w:sz w:val="21"/>
          <w:szCs w:val="21"/>
          <w:lang w:val="en-US" w:eastAsia="zh-CN"/>
        </w:rPr>
        <w:t xml:space="preserve">    14. </w:t>
      </w:r>
      <w:r>
        <w:rPr>
          <w:rFonts w:hint="default" w:ascii="Times New Roman" w:hAnsi="Times New Roman" w:eastAsia="楷体_GB2312" w:cs="Times New Roman"/>
          <w:color w:val="auto"/>
          <w:spacing w:val="-6"/>
          <w:sz w:val="21"/>
          <w:szCs w:val="21"/>
          <w:lang w:val="en-US" w:eastAsia="zh-CN"/>
        </w:rPr>
        <w:t>往年签订但当年有到账的合同：</w:t>
      </w:r>
      <w:r>
        <w:rPr>
          <w:rFonts w:hint="eastAsia" w:eastAsia="楷体_GB2312" w:cs="Times New Roman"/>
          <w:color w:val="auto"/>
          <w:spacing w:val="-6"/>
          <w:sz w:val="21"/>
          <w:szCs w:val="21"/>
          <w:lang w:val="en-US" w:eastAsia="zh-CN"/>
        </w:rPr>
        <w:t>“</w:t>
      </w:r>
      <w:r>
        <w:rPr>
          <w:rFonts w:hint="default" w:ascii="Times New Roman" w:hAnsi="Times New Roman" w:eastAsia="楷体_GB2312" w:cs="Times New Roman"/>
          <w:color w:val="auto"/>
          <w:spacing w:val="-6"/>
          <w:sz w:val="21"/>
          <w:szCs w:val="21"/>
          <w:lang w:val="en-US" w:eastAsia="zh-CN"/>
        </w:rPr>
        <w:t>合同金额</w:t>
      </w:r>
      <w:r>
        <w:rPr>
          <w:rFonts w:hint="eastAsia" w:eastAsia="楷体_GB2312" w:cs="Times New Roman"/>
          <w:color w:val="auto"/>
          <w:spacing w:val="-6"/>
          <w:sz w:val="21"/>
          <w:szCs w:val="21"/>
          <w:lang w:val="en-US" w:eastAsia="zh-CN"/>
        </w:rPr>
        <w:t>”</w:t>
      </w:r>
      <w:r>
        <w:rPr>
          <w:rFonts w:hint="default" w:ascii="Times New Roman" w:hAnsi="Times New Roman" w:eastAsia="楷体_GB2312" w:cs="Times New Roman"/>
          <w:color w:val="auto"/>
          <w:spacing w:val="-6"/>
          <w:sz w:val="21"/>
          <w:szCs w:val="21"/>
          <w:lang w:val="en-US" w:eastAsia="zh-CN"/>
        </w:rPr>
        <w:t>填</w:t>
      </w:r>
      <w:r>
        <w:rPr>
          <w:rFonts w:hint="eastAsia" w:eastAsia="楷体_GB2312" w:cs="Times New Roman"/>
          <w:color w:val="auto"/>
          <w:spacing w:val="-6"/>
          <w:sz w:val="21"/>
          <w:szCs w:val="21"/>
          <w:lang w:val="en-US" w:eastAsia="zh-CN"/>
        </w:rPr>
        <w:t>“</w:t>
      </w:r>
      <w:r>
        <w:rPr>
          <w:rFonts w:hint="default" w:ascii="Times New Roman" w:hAnsi="Times New Roman" w:eastAsia="楷体_GB2312" w:cs="Times New Roman"/>
          <w:color w:val="auto"/>
          <w:spacing w:val="-6"/>
          <w:sz w:val="21"/>
          <w:szCs w:val="21"/>
          <w:lang w:val="en-US" w:eastAsia="zh-CN"/>
        </w:rPr>
        <w:t>0</w:t>
      </w:r>
      <w:r>
        <w:rPr>
          <w:rFonts w:hint="eastAsia" w:eastAsia="楷体_GB2312" w:cs="Times New Roman"/>
          <w:color w:val="auto"/>
          <w:spacing w:val="-6"/>
          <w:sz w:val="21"/>
          <w:szCs w:val="21"/>
          <w:lang w:val="en-US" w:eastAsia="zh-CN"/>
        </w:rPr>
        <w:t>”</w:t>
      </w:r>
      <w:r>
        <w:rPr>
          <w:rFonts w:hint="default" w:ascii="Times New Roman" w:hAnsi="Times New Roman" w:eastAsia="楷体_GB2312" w:cs="Times New Roman"/>
          <w:color w:val="auto"/>
          <w:spacing w:val="-6"/>
          <w:sz w:val="21"/>
          <w:szCs w:val="21"/>
          <w:lang w:val="en-US" w:eastAsia="zh-CN"/>
        </w:rPr>
        <w:t>，</w:t>
      </w:r>
      <w:r>
        <w:rPr>
          <w:rFonts w:hint="eastAsia" w:eastAsia="楷体_GB2312" w:cs="Times New Roman"/>
          <w:color w:val="auto"/>
          <w:spacing w:val="-6"/>
          <w:sz w:val="21"/>
          <w:szCs w:val="21"/>
          <w:lang w:val="en-US" w:eastAsia="zh-CN"/>
        </w:rPr>
        <w:t>“</w:t>
      </w:r>
      <w:r>
        <w:rPr>
          <w:rFonts w:hint="default" w:ascii="Times New Roman" w:hAnsi="Times New Roman" w:eastAsia="楷体_GB2312" w:cs="Times New Roman"/>
          <w:color w:val="auto"/>
          <w:spacing w:val="-6"/>
          <w:sz w:val="21"/>
          <w:szCs w:val="21"/>
          <w:lang w:val="en-US" w:eastAsia="zh-CN"/>
        </w:rPr>
        <w:t>当年到账金额</w:t>
      </w:r>
      <w:r>
        <w:rPr>
          <w:rFonts w:hint="eastAsia" w:eastAsia="楷体_GB2312" w:cs="Times New Roman"/>
          <w:color w:val="auto"/>
          <w:spacing w:val="-6"/>
          <w:sz w:val="21"/>
          <w:szCs w:val="21"/>
          <w:lang w:val="en-US" w:eastAsia="zh-CN"/>
        </w:rPr>
        <w:t>”</w:t>
      </w:r>
      <w:r>
        <w:rPr>
          <w:rFonts w:hint="default" w:ascii="Times New Roman" w:hAnsi="Times New Roman" w:eastAsia="楷体_GB2312" w:cs="Times New Roman"/>
          <w:color w:val="auto"/>
          <w:spacing w:val="-6"/>
          <w:sz w:val="21"/>
          <w:szCs w:val="21"/>
          <w:lang w:val="en-US" w:eastAsia="zh-CN"/>
        </w:rPr>
        <w:t>如实填写。</w:t>
      </w:r>
    </w:p>
    <w:p>
      <w:pPr>
        <w:bidi w:val="0"/>
        <w:rPr>
          <w:rFonts w:hint="default"/>
        </w:rPr>
      </w:pP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表2：技术开发、咨询、服务项目</w:t>
      </w:r>
    </w:p>
    <w:p>
      <w:pPr>
        <w:keepNext w:val="0"/>
        <w:keepLines w:val="0"/>
        <w:pageBreakBefore w:val="0"/>
        <w:widowControl w:val="0"/>
        <w:kinsoku/>
        <w:wordWrap/>
        <w:overflowPunct/>
        <w:topLinePunct w:val="0"/>
        <w:autoSpaceDE/>
        <w:autoSpaceDN/>
        <w:bidi w:val="0"/>
        <w:adjustRightInd w:val="0"/>
        <w:snapToGrid w:val="0"/>
        <w:spacing w:line="300" w:lineRule="auto"/>
        <w:ind w:left="0" w:leftChars="0" w:right="0" w:rightChars="0" w:firstLine="0" w:firstLineChars="0"/>
        <w:jc w:val="center"/>
        <w:textAlignment w:val="auto"/>
        <w:outlineLvl w:val="9"/>
        <w:rPr>
          <w:rFonts w:hint="default" w:ascii="Times New Roman" w:hAnsi="Times New Roman" w:eastAsia="黑体" w:cs="Times New Roman"/>
          <w:color w:val="auto"/>
          <w:sz w:val="10"/>
          <w:szCs w:val="10"/>
        </w:rPr>
      </w:pPr>
    </w:p>
    <w:tbl>
      <w:tblPr>
        <w:tblStyle w:val="10"/>
        <w:tblW w:w="81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8" w:type="dxa"/>
          <w:left w:w="28" w:type="dxa"/>
          <w:bottom w:w="28" w:type="dxa"/>
          <w:right w:w="28" w:type="dxa"/>
        </w:tblCellMar>
      </w:tblPr>
      <w:tblGrid>
        <w:gridCol w:w="454"/>
        <w:gridCol w:w="2158"/>
        <w:gridCol w:w="1656"/>
        <w:gridCol w:w="1650"/>
        <w:gridCol w:w="22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jc w:val="center"/>
        </w:trPr>
        <w:tc>
          <w:tcPr>
            <w:tcW w:w="45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序号</w:t>
            </w:r>
          </w:p>
        </w:tc>
        <w:tc>
          <w:tcPr>
            <w:tcW w:w="21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技术开发、咨询、服务项目名称</w:t>
            </w:r>
          </w:p>
        </w:tc>
        <w:tc>
          <w:tcPr>
            <w:tcW w:w="16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合同金额</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（万元）</w:t>
            </w: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当年到账金额</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（万元）</w:t>
            </w:r>
          </w:p>
        </w:tc>
        <w:tc>
          <w:tcPr>
            <w:tcW w:w="223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是否为新签订合同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28" w:type="dxa"/>
            <w:bottom w:w="28" w:type="dxa"/>
            <w:right w:w="28" w:type="dxa"/>
          </w:tblCellMar>
        </w:tblPrEx>
        <w:trPr>
          <w:trHeight w:val="510" w:hRule="atLeast"/>
          <w:jc w:val="center"/>
        </w:trPr>
        <w:tc>
          <w:tcPr>
            <w:tcW w:w="45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21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223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jc w:val="center"/>
        </w:trPr>
        <w:tc>
          <w:tcPr>
            <w:tcW w:w="45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21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223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rPr>
            </w:pPr>
          </w:p>
        </w:tc>
      </w:tr>
    </w:tbl>
    <w:p>
      <w:pPr>
        <w:keepNext w:val="0"/>
        <w:keepLines w:val="0"/>
        <w:pageBreakBefore w:val="0"/>
        <w:widowControl w:val="0"/>
        <w:kinsoku/>
        <w:wordWrap/>
        <w:overflowPunct/>
        <w:topLinePunct w:val="0"/>
        <w:autoSpaceDE/>
        <w:autoSpaceDN/>
        <w:bidi w:val="0"/>
        <w:adjustRightInd w:val="0"/>
        <w:snapToGrid w:val="0"/>
        <w:spacing w:before="156" w:beforeLines="25" w:line="312" w:lineRule="auto"/>
        <w:ind w:left="1002" w:leftChars="100" w:right="320" w:rightChars="10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黑体" w:cs="Times New Roman"/>
          <w:color w:val="auto"/>
          <w:sz w:val="21"/>
          <w:szCs w:val="21"/>
        </w:rPr>
        <w:t>注：</w:t>
      </w:r>
      <w:r>
        <w:rPr>
          <w:rFonts w:hint="default" w:ascii="Times New Roman" w:hAnsi="Times New Roman" w:eastAsia="楷体_GB2312" w:cs="Times New Roman"/>
          <w:color w:val="auto"/>
          <w:sz w:val="21"/>
          <w:szCs w:val="21"/>
        </w:rPr>
        <w:t>1.</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本表中需填写如下两方面</w:t>
      </w:r>
      <w:r>
        <w:rPr>
          <w:rFonts w:hint="default" w:ascii="Times New Roman" w:hAnsi="Times New Roman" w:eastAsia="楷体_GB2312" w:cs="Times New Roman"/>
          <w:color w:val="auto"/>
          <w:sz w:val="21"/>
          <w:szCs w:val="21"/>
          <w:lang w:eastAsia="zh-CN"/>
        </w:rPr>
        <w:t>相关信息</w:t>
      </w:r>
      <w:r>
        <w:rPr>
          <w:rFonts w:hint="default" w:ascii="Times New Roman" w:hAnsi="Times New Roman" w:eastAsia="楷体_GB2312" w:cs="Times New Roman"/>
          <w:color w:val="auto"/>
          <w:sz w:val="21"/>
          <w:szCs w:val="21"/>
        </w:rPr>
        <w:t>：</w:t>
      </w:r>
    </w:p>
    <w:p>
      <w:pPr>
        <w:keepNext w:val="0"/>
        <w:keepLines w:val="0"/>
        <w:pageBreakBefore w:val="0"/>
        <w:widowControl w:val="0"/>
        <w:numPr>
          <w:ilvl w:val="0"/>
          <w:numId w:val="2"/>
        </w:numPr>
        <w:kinsoku/>
        <w:wordWrap/>
        <w:overflowPunct/>
        <w:topLinePunct w:val="0"/>
        <w:autoSpaceDE/>
        <w:autoSpaceDN/>
        <w:bidi w:val="0"/>
        <w:adjustRightInd w:val="0"/>
        <w:snapToGrid w:val="0"/>
        <w:spacing w:line="312" w:lineRule="auto"/>
        <w:ind w:left="1273" w:leftChars="301" w:right="320" w:rightChars="100" w:hanging="310" w:hangingChars="148"/>
        <w:textAlignment w:val="auto"/>
        <w:outlineLvl w:val="9"/>
        <w:rPr>
          <w:rFonts w:hint="default" w:ascii="Times New Roman" w:hAnsi="Times New Roman" w:eastAsia="楷体_GB2312" w:cs="Times New Roman"/>
          <w:color w:val="auto"/>
          <w:sz w:val="21"/>
          <w:szCs w:val="21"/>
          <w:lang w:val="en-US" w:eastAsia="zh-CN"/>
        </w:rPr>
      </w:pPr>
      <w:r>
        <w:rPr>
          <w:rFonts w:hint="default" w:ascii="Times New Roman" w:hAnsi="Times New Roman" w:eastAsia="楷体_GB2312" w:cs="Times New Roman"/>
          <w:color w:val="auto"/>
          <w:sz w:val="21"/>
          <w:szCs w:val="21"/>
          <w:lang w:val="en-US" w:eastAsia="zh-CN"/>
        </w:rPr>
        <w:t>当年新签订合同中</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合同金额</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在100万元及以上的项目相关信息；</w:t>
      </w:r>
    </w:p>
    <w:p>
      <w:pPr>
        <w:keepNext w:val="0"/>
        <w:keepLines w:val="0"/>
        <w:pageBreakBefore w:val="0"/>
        <w:widowControl w:val="0"/>
        <w:numPr>
          <w:ilvl w:val="0"/>
          <w:numId w:val="2"/>
        </w:numPr>
        <w:kinsoku/>
        <w:wordWrap/>
        <w:overflowPunct/>
        <w:topLinePunct w:val="0"/>
        <w:autoSpaceDE/>
        <w:autoSpaceDN/>
        <w:bidi w:val="0"/>
        <w:adjustRightInd w:val="0"/>
        <w:snapToGrid w:val="0"/>
        <w:spacing w:line="312" w:lineRule="auto"/>
        <w:ind w:left="1273" w:leftChars="301" w:right="320" w:rightChars="100" w:hanging="310" w:hangingChars="148"/>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往年签订合同中 </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当年到账金额</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在100万元及以上的项目相关信息。</w:t>
      </w:r>
    </w:p>
    <w:p>
      <w:pPr>
        <w:keepNext w:val="0"/>
        <w:keepLines w:val="0"/>
        <w:pageBreakBefore w:val="0"/>
        <w:widowControl w:val="0"/>
        <w:kinsoku/>
        <w:wordWrap/>
        <w:overflowPunct/>
        <w:topLinePunct w:val="0"/>
        <w:autoSpaceDE/>
        <w:autoSpaceDN/>
        <w:bidi w:val="0"/>
        <w:adjustRightInd w:val="0"/>
        <w:snapToGrid w:val="0"/>
        <w:spacing w:line="312" w:lineRule="auto"/>
        <w:ind w:left="971" w:leftChars="97" w:right="320" w:rightChars="100" w:hanging="661" w:hangingChars="315"/>
        <w:textAlignment w:val="auto"/>
        <w:outlineLvl w:val="9"/>
        <w:rPr>
          <w:rFonts w:hint="default" w:ascii="Times New Roman" w:hAnsi="Times New Roman" w:eastAsia="楷体_GB2312" w:cs="Times New Roman"/>
          <w:color w:val="auto"/>
          <w:sz w:val="21"/>
          <w:szCs w:val="21"/>
          <w:lang w:val="en-US" w:eastAsia="zh-CN"/>
        </w:rPr>
      </w:pP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2.</w:t>
      </w:r>
      <w:r>
        <w:rPr>
          <w:rFonts w:hint="default" w:ascii="Times New Roman" w:hAnsi="Times New Roman" w:eastAsia="楷体_GB2312" w:cs="Times New Roman"/>
          <w:color w:val="auto"/>
          <w:sz w:val="21"/>
          <w:szCs w:val="21"/>
          <w:lang w:val="en-US" w:eastAsia="zh-CN"/>
        </w:rPr>
        <w:t xml:space="preserve"> 以上当年新签订项目合同金额合计等于或者小于第二部分（一）中</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技术开发、咨询、服务项目合同金额</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12" w:lineRule="auto"/>
        <w:ind w:left="967" w:leftChars="227" w:right="320" w:rightChars="100" w:hanging="241" w:hangingChars="11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3. 以上当年到账金额合计等于或者小于第二部分（一）中</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技术开发、咨询、服务项目当年到账总金额</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w:t>
      </w:r>
    </w:p>
    <w:p>
      <w:pPr>
        <w:keepNext w:val="0"/>
        <w:keepLines w:val="0"/>
        <w:pageBreakBefore w:val="0"/>
        <w:widowControl w:val="0"/>
        <w:kinsoku/>
        <w:wordWrap/>
        <w:overflowPunct/>
        <w:topLinePunct w:val="0"/>
        <w:autoSpaceDE/>
        <w:autoSpaceDN/>
        <w:bidi w:val="0"/>
        <w:adjustRightInd w:val="0"/>
        <w:snapToGrid w:val="0"/>
        <w:spacing w:line="312" w:lineRule="auto"/>
        <w:ind w:left="740" w:leftChars="100" w:right="320" w:rightChars="100" w:hanging="420" w:hangingChars="200"/>
        <w:textAlignment w:val="auto"/>
        <w:outlineLvl w:val="9"/>
        <w:rPr>
          <w:rFonts w:hint="default" w:ascii="Times New Roman" w:hAnsi="Times New Roman" w:eastAsia="楷体_GB2312" w:cs="Times New Roman"/>
          <w:color w:val="auto"/>
          <w:sz w:val="21"/>
          <w:szCs w:val="21"/>
          <w:lang w:val="en-US" w:eastAsia="zh-CN"/>
        </w:rPr>
      </w:pPr>
      <w:r>
        <w:rPr>
          <w:rFonts w:hint="default" w:ascii="Times New Roman" w:hAnsi="Times New Roman" w:eastAsia="楷体_GB2312" w:cs="Times New Roman"/>
          <w:color w:val="auto"/>
          <w:sz w:val="21"/>
          <w:szCs w:val="21"/>
          <w:lang w:val="en-US" w:eastAsia="zh-CN"/>
        </w:rPr>
        <w:t xml:space="preserve">    4</w:t>
      </w:r>
      <w:r>
        <w:rPr>
          <w:rFonts w:hint="default" w:ascii="Times New Roman" w:hAnsi="Times New Roman" w:eastAsia="楷体_GB2312" w:cs="Times New Roman"/>
          <w:color w:val="auto"/>
          <w:sz w:val="21"/>
          <w:szCs w:val="21"/>
        </w:rPr>
        <w:t>.</w:t>
      </w:r>
      <w:r>
        <w:rPr>
          <w:rFonts w:hint="default" w:ascii="Times New Roman" w:hAnsi="Times New Roman" w:eastAsia="楷体_GB2312" w:cs="Times New Roman"/>
          <w:color w:val="auto"/>
          <w:sz w:val="21"/>
          <w:szCs w:val="21"/>
          <w:lang w:val="en-US" w:eastAsia="zh-CN"/>
        </w:rPr>
        <w:t xml:space="preserve"> 往年签订但当年有到账的合同：</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合同金额</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填</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0</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当年到账金额</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如实填写。</w:t>
      </w:r>
    </w:p>
    <w:p>
      <w:pPr>
        <w:keepNext w:val="0"/>
        <w:keepLines w:val="0"/>
        <w:pageBreakBefore w:val="0"/>
        <w:widowControl w:val="0"/>
        <w:kinsoku/>
        <w:wordWrap/>
        <w:overflowPunct/>
        <w:topLinePunct w:val="0"/>
        <w:autoSpaceDE/>
        <w:autoSpaceDN/>
        <w:bidi w:val="0"/>
        <w:adjustRightInd w:val="0"/>
        <w:snapToGrid/>
        <w:spacing w:before="0" w:beforeLines="0" w:line="340" w:lineRule="exact"/>
        <w:ind w:left="740" w:leftChars="100" w:right="320" w:rightChars="100" w:hanging="420" w:hangingChars="200"/>
        <w:textAlignment w:val="auto"/>
        <w:outlineLvl w:val="9"/>
        <w:rPr>
          <w:rFonts w:hint="default" w:ascii="Times New Roman" w:hAnsi="Times New Roman" w:eastAsia="黑体" w:cs="Times New Roman"/>
          <w:color w:val="auto"/>
          <w:sz w:val="24"/>
          <w:szCs w:val="24"/>
        </w:rPr>
      </w:pPr>
      <w:r>
        <w:rPr>
          <w:rFonts w:hint="default" w:ascii="Times New Roman" w:hAnsi="Times New Roman" w:eastAsia="楷体_GB2312" w:cs="Times New Roman"/>
          <w:color w:val="auto"/>
          <w:sz w:val="21"/>
          <w:szCs w:val="21"/>
          <w:lang w:val="en-US" w:eastAsia="zh-CN"/>
        </w:rPr>
        <w:br w:type="page"/>
      </w:r>
      <w:r>
        <w:rPr>
          <w:rFonts w:hint="default" w:ascii="Times New Roman" w:hAnsi="Times New Roman" w:eastAsia="黑体" w:cs="Times New Roman"/>
          <w:color w:val="auto"/>
          <w:sz w:val="24"/>
          <w:szCs w:val="24"/>
        </w:rPr>
        <w:t>三、成果转化收入的分配情况</w:t>
      </w:r>
    </w:p>
    <w:p>
      <w:pPr>
        <w:keepNext w:val="0"/>
        <w:keepLines w:val="0"/>
        <w:pageBreakBefore w:val="0"/>
        <w:widowControl w:val="0"/>
        <w:kinsoku/>
        <w:wordWrap/>
        <w:overflowPunct/>
        <w:topLinePunct w:val="0"/>
        <w:autoSpaceDE/>
        <w:autoSpaceDN/>
        <w:bidi w:val="0"/>
        <w:adjustRightInd w:val="0"/>
        <w:snapToGrid w:val="0"/>
        <w:spacing w:before="0" w:beforeLines="0" w:line="240" w:lineRule="auto"/>
        <w:ind w:left="320" w:leftChars="100" w:right="320" w:rightChars="100" w:firstLine="0" w:firstLineChars="0"/>
        <w:textAlignment w:val="auto"/>
        <w:outlineLvl w:val="9"/>
        <w:rPr>
          <w:rFonts w:hint="default" w:ascii="Times New Roman" w:hAnsi="Times New Roman" w:eastAsia="黑体" w:cs="Times New Roman"/>
          <w:color w:val="auto"/>
          <w:sz w:val="11"/>
          <w:szCs w:val="11"/>
        </w:rPr>
      </w:pPr>
    </w:p>
    <w:tbl>
      <w:tblPr>
        <w:tblStyle w:val="10"/>
        <w:tblW w:w="839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28" w:type="dxa"/>
          <w:left w:w="28" w:type="dxa"/>
          <w:bottom w:w="28" w:type="dxa"/>
          <w:right w:w="28" w:type="dxa"/>
        </w:tblCellMar>
      </w:tblPr>
      <w:tblGrid>
        <w:gridCol w:w="520"/>
        <w:gridCol w:w="1635"/>
        <w:gridCol w:w="1973"/>
        <w:gridCol w:w="19"/>
        <w:gridCol w:w="47"/>
        <w:gridCol w:w="1090"/>
        <w:gridCol w:w="2061"/>
        <w:gridCol w:w="104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tblHeader/>
          <w:jc w:val="center"/>
        </w:trPr>
        <w:tc>
          <w:tcPr>
            <w:tcW w:w="52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序号</w:t>
            </w:r>
          </w:p>
        </w:tc>
        <w:tc>
          <w:tcPr>
            <w:tcW w:w="6825" w:type="dxa"/>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eastAsia="黑体" w:cs="Times New Roman"/>
                <w:color w:val="auto"/>
                <w:sz w:val="21"/>
                <w:szCs w:val="21"/>
              </w:rPr>
            </w:pPr>
            <w:r>
              <w:rPr>
                <w:rFonts w:hint="default" w:ascii="Times New Roman" w:hAnsi="Times New Roman" w:eastAsia="黑体" w:cs="Times New Roman"/>
                <w:color w:val="auto"/>
                <w:sz w:val="21"/>
                <w:szCs w:val="21"/>
              </w:rPr>
              <w:t>项目</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eastAsia" w:ascii="Times New Roman" w:hAnsi="Times New Roman" w:eastAsia="黑体" w:cs="Times New Roman"/>
                <w:color w:val="auto"/>
                <w:sz w:val="21"/>
                <w:szCs w:val="21"/>
                <w:lang w:eastAsia="zh-CN"/>
              </w:rPr>
            </w:pPr>
            <w:r>
              <w:rPr>
                <w:rFonts w:hint="default" w:ascii="Times New Roman" w:hAnsi="Times New Roman" w:eastAsia="黑体" w:cs="Times New Roman"/>
                <w:color w:val="auto"/>
                <w:sz w:val="21"/>
                <w:szCs w:val="21"/>
              </w:rPr>
              <w:t>202</w:t>
            </w:r>
            <w:r>
              <w:rPr>
                <w:rFonts w:hint="eastAsia" w:eastAsia="黑体" w:cs="Times New Roman"/>
                <w:color w:val="auto"/>
                <w:sz w:val="21"/>
                <w:szCs w:val="21"/>
                <w:lang w:val="en-US" w:eastAsia="zh-CN"/>
              </w:rPr>
              <w:t>2</w:t>
            </w:r>
            <w:r>
              <w:rPr>
                <w:rFonts w:hint="default" w:ascii="Times New Roman" w:hAnsi="Times New Roman" w:eastAsia="黑体" w:cs="Times New Roman"/>
                <w:color w:val="auto"/>
                <w:sz w:val="21"/>
                <w:szCs w:val="21"/>
              </w:rPr>
              <w:t>年</w:t>
            </w:r>
            <w:r>
              <w:rPr>
                <w:rFonts w:hint="eastAsia" w:eastAsia="黑体" w:cs="Times New Roman"/>
                <w:color w:val="auto"/>
                <w:sz w:val="21"/>
                <w:szCs w:val="21"/>
                <w:lang w:eastAsia="zh-CN"/>
              </w:rPr>
              <w:t>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w:t>
            </w:r>
          </w:p>
        </w:tc>
        <w:tc>
          <w:tcPr>
            <w:tcW w:w="163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现金收入及奖励</w:t>
            </w:r>
          </w:p>
        </w:tc>
        <w:tc>
          <w:tcPr>
            <w:tcW w:w="1992" w:type="dxa"/>
            <w:gridSpan w:val="2"/>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转让、许可的科技成果转化</w:t>
            </w:r>
            <w:r>
              <w:rPr>
                <w:rFonts w:hint="default" w:ascii="Times New Roman" w:hAnsi="Times New Roman" w:cs="Times New Roman"/>
                <w:color w:val="auto"/>
                <w:sz w:val="21"/>
                <w:szCs w:val="21"/>
                <w:highlight w:val="none"/>
              </w:rPr>
              <w:t>当年</w:t>
            </w:r>
            <w:r>
              <w:rPr>
                <w:rFonts w:hint="default" w:ascii="Times New Roman" w:hAnsi="Times New Roman" w:cs="Times New Roman"/>
                <w:color w:val="auto"/>
                <w:sz w:val="21"/>
                <w:szCs w:val="21"/>
                <w:highlight w:val="none"/>
                <w:lang w:eastAsia="zh-CN"/>
              </w:rPr>
              <w:t>实现分配</w:t>
            </w:r>
            <w:r>
              <w:rPr>
                <w:rFonts w:hint="default" w:ascii="Times New Roman" w:hAnsi="Times New Roman" w:cs="Times New Roman"/>
                <w:color w:val="auto"/>
                <w:sz w:val="21"/>
                <w:szCs w:val="21"/>
                <w:highlight w:val="none"/>
              </w:rPr>
              <w:t>的现金总收入（</w:t>
            </w:r>
            <w:r>
              <w:rPr>
                <w:rFonts w:hint="default" w:ascii="Times New Roman" w:hAnsi="Times New Roman" w:cs="Times New Roman"/>
                <w:color w:val="auto"/>
                <w:sz w:val="21"/>
                <w:szCs w:val="21"/>
              </w:rPr>
              <w:t>万元）</w:t>
            </w:r>
          </w:p>
        </w:tc>
        <w:tc>
          <w:tcPr>
            <w:tcW w:w="3198"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留归单位（万元）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992" w:type="dxa"/>
            <w:gridSpan w:val="2"/>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1137" w:type="dxa"/>
            <w:gridSpan w:val="2"/>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奖励个人</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（万元）</w:t>
            </w:r>
          </w:p>
        </w:tc>
        <w:tc>
          <w:tcPr>
            <w:tcW w:w="206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992" w:type="dxa"/>
            <w:gridSpan w:val="2"/>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1137" w:type="dxa"/>
            <w:gridSpan w:val="2"/>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206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研发与转化主要贡献人员（万元）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5190"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转让、许可的科技成果取得的现金收入奖励人次（次）</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2039" w:type="dxa"/>
            <w:gridSpan w:val="3"/>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技术开发、咨询、服务项目</w:t>
            </w:r>
            <w:r>
              <w:rPr>
                <w:rFonts w:hint="default" w:ascii="Times New Roman" w:hAnsi="Times New Roman" w:cs="Times New Roman"/>
                <w:color w:val="auto"/>
                <w:sz w:val="21"/>
                <w:szCs w:val="21"/>
                <w:highlight w:val="none"/>
              </w:rPr>
              <w:t>当年</w:t>
            </w:r>
            <w:r>
              <w:rPr>
                <w:rFonts w:hint="default" w:ascii="Times New Roman" w:hAnsi="Times New Roman" w:cs="Times New Roman"/>
                <w:color w:val="auto"/>
                <w:sz w:val="21"/>
                <w:szCs w:val="21"/>
                <w:highlight w:val="none"/>
                <w:lang w:eastAsia="zh-CN"/>
              </w:rPr>
              <w:t>实现分配</w:t>
            </w:r>
            <w:r>
              <w:rPr>
                <w:rFonts w:hint="default" w:ascii="Times New Roman" w:hAnsi="Times New Roman" w:cs="Times New Roman"/>
                <w:color w:val="auto"/>
                <w:sz w:val="21"/>
                <w:szCs w:val="21"/>
                <w:highlight w:val="none"/>
              </w:rPr>
              <w:t>的现金总收入</w:t>
            </w:r>
            <w:r>
              <w:rPr>
                <w:rFonts w:hint="default" w:ascii="Times New Roman" w:hAnsi="Times New Roman" w:cs="Times New Roman"/>
                <w:color w:val="auto"/>
                <w:sz w:val="21"/>
                <w:szCs w:val="21"/>
              </w:rPr>
              <w:t>（万元）</w:t>
            </w:r>
          </w:p>
        </w:tc>
        <w:tc>
          <w:tcPr>
            <w:tcW w:w="3151"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留归单位（万元）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2039" w:type="dxa"/>
            <w:gridSpan w:val="3"/>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1090"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奖励个人</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（万元）</w:t>
            </w:r>
          </w:p>
        </w:tc>
        <w:tc>
          <w:tcPr>
            <w:tcW w:w="206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2039" w:type="dxa"/>
            <w:gridSpan w:val="3"/>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109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206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研发与转化主要贡献人员（万元）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5190"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技术开发、咨询、服务项目取得的现金收入奖励人次（次）</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二</w:t>
            </w:r>
          </w:p>
        </w:tc>
        <w:tc>
          <w:tcPr>
            <w:tcW w:w="163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股权收入及奖励</w:t>
            </w:r>
          </w:p>
        </w:tc>
        <w:tc>
          <w:tcPr>
            <w:tcW w:w="1973"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作价投资的科技成果转化当年</w:t>
            </w:r>
            <w:r>
              <w:rPr>
                <w:rFonts w:hint="default" w:ascii="Times New Roman" w:hAnsi="Times New Roman" w:cs="Times New Roman"/>
                <w:color w:val="auto"/>
                <w:sz w:val="21"/>
                <w:szCs w:val="21"/>
                <w:highlight w:val="none"/>
                <w:lang w:eastAsia="zh-CN"/>
              </w:rPr>
              <w:t>实现分配</w:t>
            </w:r>
            <w:r>
              <w:rPr>
                <w:rFonts w:hint="default" w:ascii="Times New Roman" w:hAnsi="Times New Roman" w:cs="Times New Roman"/>
                <w:color w:val="auto"/>
                <w:sz w:val="21"/>
                <w:szCs w:val="21"/>
                <w:highlight w:val="none"/>
              </w:rPr>
              <w:t>的股份金额（万元）</w:t>
            </w:r>
          </w:p>
        </w:tc>
        <w:tc>
          <w:tcPr>
            <w:tcW w:w="3217"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留归单位（万元）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973"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1156" w:type="dxa"/>
            <w:gridSpan w:val="3"/>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奖励个人</w:t>
            </w:r>
          </w:p>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outlineLvl w:val="9"/>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（万元）</w:t>
            </w:r>
          </w:p>
        </w:tc>
        <w:tc>
          <w:tcPr>
            <w:tcW w:w="206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973"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1156" w:type="dxa"/>
            <w:gridSpan w:val="3"/>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206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研发与转化主要贡献人员（万元）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5190"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股权奖励人次（次）</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三</w:t>
            </w:r>
          </w:p>
        </w:tc>
        <w:tc>
          <w:tcPr>
            <w:tcW w:w="163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奖励情况小计</w:t>
            </w:r>
          </w:p>
        </w:tc>
        <w:tc>
          <w:tcPr>
            <w:tcW w:w="5190"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以上一、二项单位获得现金和股权收入总额（万元）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5190"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以上一、二项对个人现金、股权奖励总额（万元）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5190"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以转让、许可、作价投资方式转化科技成果单位获得现金、股权收入总额（万元）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397" w:hRule="atLeast"/>
          <w:jc w:val="center"/>
        </w:trPr>
        <w:tc>
          <w:tcPr>
            <w:tcW w:w="52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left="0" w:leftChars="0" w:right="0" w:rightChars="0" w:firstLine="0" w:firstLineChars="0"/>
              <w:jc w:val="center"/>
              <w:textAlignment w:val="auto"/>
              <w:rPr>
                <w:rFonts w:hint="default" w:ascii="Times New Roman" w:hAnsi="Times New Roman" w:cs="Times New Roman"/>
                <w:color w:val="auto"/>
                <w:sz w:val="21"/>
                <w:szCs w:val="21"/>
              </w:rPr>
            </w:pPr>
          </w:p>
        </w:tc>
        <w:tc>
          <w:tcPr>
            <w:tcW w:w="163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c>
          <w:tcPr>
            <w:tcW w:w="5190"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以转让、许可、作价投资方式转化科技成果对个人现金、股权奖励总额（万元）</w:t>
            </w:r>
          </w:p>
        </w:tc>
        <w:tc>
          <w:tcPr>
            <w:tcW w:w="10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16" w:lineRule="auto"/>
              <w:ind w:firstLine="0" w:firstLineChars="0"/>
              <w:textAlignment w:val="auto"/>
              <w:rPr>
                <w:rFonts w:hint="default" w:ascii="Times New Roman" w:hAnsi="Times New Roman" w:cs="Times New Roman"/>
                <w:color w:val="auto"/>
                <w:sz w:val="21"/>
                <w:szCs w:val="21"/>
              </w:rPr>
            </w:pPr>
          </w:p>
        </w:tc>
      </w:tr>
    </w:tbl>
    <w:p>
      <w:pPr>
        <w:keepNext w:val="0"/>
        <w:keepLines w:val="0"/>
        <w:pageBreakBefore w:val="0"/>
        <w:widowControl w:val="0"/>
        <w:kinsoku/>
        <w:wordWrap/>
        <w:overflowPunct/>
        <w:topLinePunct w:val="0"/>
        <w:autoSpaceDE/>
        <w:autoSpaceDN/>
        <w:bidi w:val="0"/>
        <w:adjustRightInd w:val="0"/>
        <w:snapToGrid w:val="0"/>
        <w:spacing w:before="156" w:beforeLines="25" w:line="300" w:lineRule="auto"/>
        <w:ind w:left="842" w:leftChars="50" w:right="160" w:rightChars="5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黑体" w:cs="Times New Roman"/>
          <w:color w:val="auto"/>
          <w:sz w:val="21"/>
          <w:szCs w:val="21"/>
        </w:rPr>
        <w:t>注：</w:t>
      </w:r>
      <w:r>
        <w:rPr>
          <w:rFonts w:hint="default" w:ascii="Times New Roman" w:hAnsi="Times New Roman" w:eastAsia="楷体_GB2312" w:cs="Times New Roman"/>
          <w:color w:val="auto"/>
          <w:sz w:val="21"/>
          <w:szCs w:val="21"/>
        </w:rPr>
        <w:t>1.</w:t>
      </w:r>
      <w:r>
        <w:rPr>
          <w:rFonts w:hint="default" w:ascii="Times New Roman" w:hAnsi="Times New Roman" w:eastAsia="楷体_GB2312" w:cs="Times New Roman"/>
          <w:color w:val="auto"/>
          <w:sz w:val="21"/>
          <w:szCs w:val="21"/>
          <w:lang w:val="en-US" w:eastAsia="zh-CN"/>
        </w:rPr>
        <w:t xml:space="preserve"> </w:t>
      </w:r>
      <w:r>
        <w:rPr>
          <w:rFonts w:hint="default" w:ascii="Times New Roman" w:hAnsi="Times New Roman" w:eastAsia="楷体_GB2312" w:cs="Times New Roman"/>
          <w:color w:val="auto"/>
          <w:sz w:val="21"/>
          <w:szCs w:val="21"/>
        </w:rPr>
        <w:t>本表只统计以转让、许可、作价投资方式转化科技成果以及技术开发、咨询、服务项目取得的</w:t>
      </w:r>
      <w:r>
        <w:rPr>
          <w:rFonts w:hint="default" w:ascii="Times New Roman" w:hAnsi="Times New Roman" w:eastAsia="楷体_GB2312" w:cs="Times New Roman"/>
          <w:color w:val="auto"/>
          <w:sz w:val="21"/>
          <w:szCs w:val="21"/>
          <w:lang w:eastAsia="zh-CN"/>
        </w:rPr>
        <w:t>现金和股份收入中</w:t>
      </w:r>
      <w:r>
        <w:rPr>
          <w:rFonts w:hint="default" w:ascii="Times New Roman" w:hAnsi="Times New Roman" w:eastAsia="楷体_GB2312" w:cs="Times New Roman"/>
          <w:color w:val="auto"/>
          <w:sz w:val="21"/>
          <w:szCs w:val="21"/>
        </w:rPr>
        <w:t>当年实际完成分配的情况，不统计未完成分配的收入。</w:t>
      </w:r>
    </w:p>
    <w:p>
      <w:pPr>
        <w:keepNext w:val="0"/>
        <w:keepLines w:val="0"/>
        <w:pageBreakBefore w:val="0"/>
        <w:widowControl w:val="0"/>
        <w:kinsoku/>
        <w:wordWrap/>
        <w:overflowPunct/>
        <w:topLinePunct w:val="0"/>
        <w:autoSpaceDE/>
        <w:autoSpaceDN/>
        <w:bidi w:val="0"/>
        <w:adjustRightInd w:val="0"/>
        <w:snapToGrid w:val="0"/>
        <w:spacing w:line="300" w:lineRule="auto"/>
        <w:ind w:left="842" w:leftChars="50" w:right="160" w:rightChars="50" w:hanging="682" w:hangingChars="325"/>
        <w:textAlignment w:val="auto"/>
        <w:outlineLvl w:val="9"/>
        <w:rPr>
          <w:rFonts w:hint="default" w:ascii="Times New Roman" w:hAnsi="Times New Roman" w:eastAsia="楷体_GB2312" w:cs="Times New Roman"/>
          <w:color w:val="auto"/>
          <w:sz w:val="21"/>
          <w:szCs w:val="21"/>
          <w:lang w:val="en-US" w:eastAsia="zh-CN"/>
        </w:rPr>
      </w:pPr>
      <w:r>
        <w:rPr>
          <w:rFonts w:hint="eastAsia" w:eastAsia="楷体_GB2312" w:cs="Times New Roman"/>
          <w:color w:val="auto"/>
          <w:sz w:val="21"/>
          <w:szCs w:val="21"/>
          <w:lang w:val="en-US" w:eastAsia="zh-CN"/>
        </w:rPr>
        <w:t xml:space="preserve">    2. </w:t>
      </w:r>
      <w:r>
        <w:rPr>
          <w:rFonts w:hint="default" w:ascii="Times New Roman" w:hAnsi="Times New Roman" w:eastAsia="楷体_GB2312" w:cs="Times New Roman"/>
          <w:color w:val="auto"/>
          <w:sz w:val="21"/>
          <w:szCs w:val="21"/>
          <w:lang w:val="en-US" w:eastAsia="zh-CN"/>
        </w:rPr>
        <w:t>转让、许可的科技成果转化当年实现分配的现金总收入中，</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奖励个人</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为科技成果转化净收入中以现金方式奖励给个人的部分；</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留归单位</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为现金净收入中除去奖励个人以外的部分。</w:t>
      </w:r>
    </w:p>
    <w:p>
      <w:pPr>
        <w:keepNext w:val="0"/>
        <w:keepLines w:val="0"/>
        <w:pageBreakBefore w:val="0"/>
        <w:widowControl w:val="0"/>
        <w:kinsoku/>
        <w:wordWrap/>
        <w:overflowPunct/>
        <w:topLinePunct w:val="0"/>
        <w:autoSpaceDE/>
        <w:autoSpaceDN/>
        <w:bidi w:val="0"/>
        <w:adjustRightInd w:val="0"/>
        <w:snapToGrid w:val="0"/>
        <w:spacing w:line="300" w:lineRule="auto"/>
        <w:ind w:left="842" w:leftChars="50" w:right="160" w:rightChars="50" w:hanging="682" w:hangingChars="325"/>
        <w:textAlignment w:val="auto"/>
        <w:outlineLvl w:val="9"/>
        <w:rPr>
          <w:rFonts w:hint="default" w:ascii="Times New Roman" w:hAnsi="Times New Roman" w:eastAsia="楷体_GB2312" w:cs="Times New Roman"/>
          <w:color w:val="auto"/>
          <w:sz w:val="21"/>
          <w:szCs w:val="21"/>
          <w:highlight w:val="none"/>
          <w:lang w:val="en-US" w:eastAsia="zh-CN"/>
        </w:rPr>
      </w:pPr>
      <w:r>
        <w:rPr>
          <w:rFonts w:hint="eastAsia" w:eastAsia="楷体_GB2312" w:cs="Times New Roman"/>
          <w:color w:val="auto"/>
          <w:sz w:val="21"/>
          <w:szCs w:val="21"/>
          <w:lang w:val="en-US" w:eastAsia="zh-CN"/>
        </w:rPr>
        <w:t xml:space="preserve">    3. </w:t>
      </w:r>
      <w:r>
        <w:rPr>
          <w:rFonts w:hint="default" w:ascii="Times New Roman" w:hAnsi="Times New Roman" w:eastAsia="楷体_GB2312" w:cs="Times New Roman"/>
          <w:color w:val="auto"/>
          <w:sz w:val="21"/>
          <w:szCs w:val="21"/>
          <w:highlight w:val="none"/>
          <w:lang w:val="en-US" w:eastAsia="zh-CN"/>
        </w:rPr>
        <w:t>技术开发、咨询、服务项目当年实现分配的现金总收入以</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净收入</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计算，为合同到账金额扣除劳务费、材料费、差旅费、技术合同签订费等成本。其中，</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奖励个人</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为给予个人的现金奖励、绩效奖金、项目验收后供个人或其所在团队继续使用的科研经费等；</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留归单位</w:t>
      </w:r>
      <w:r>
        <w:rPr>
          <w:rFonts w:hint="eastAsia" w:eastAsia="楷体_GB2312" w:cs="Times New Roman"/>
          <w:color w:val="auto"/>
          <w:sz w:val="21"/>
          <w:szCs w:val="21"/>
          <w:highlight w:val="none"/>
          <w:lang w:val="en-US" w:eastAsia="zh-CN"/>
        </w:rPr>
        <w:t>”</w:t>
      </w:r>
      <w:r>
        <w:rPr>
          <w:rFonts w:hint="default" w:ascii="Times New Roman" w:hAnsi="Times New Roman" w:eastAsia="楷体_GB2312" w:cs="Times New Roman"/>
          <w:color w:val="auto"/>
          <w:sz w:val="21"/>
          <w:szCs w:val="21"/>
          <w:highlight w:val="none"/>
          <w:lang w:val="en-US" w:eastAsia="zh-CN"/>
        </w:rPr>
        <w:t>为管理费、单位收益等。各单位可根据单位实际政策和财务制度申报，如事先按照一定比例扣除。</w:t>
      </w:r>
    </w:p>
    <w:p>
      <w:pPr>
        <w:keepNext w:val="0"/>
        <w:keepLines w:val="0"/>
        <w:pageBreakBefore w:val="0"/>
        <w:widowControl w:val="0"/>
        <w:kinsoku/>
        <w:wordWrap/>
        <w:overflowPunct/>
        <w:topLinePunct w:val="0"/>
        <w:autoSpaceDE/>
        <w:autoSpaceDN/>
        <w:bidi w:val="0"/>
        <w:adjustRightInd w:val="0"/>
        <w:snapToGrid w:val="0"/>
        <w:spacing w:line="300" w:lineRule="auto"/>
        <w:ind w:left="842" w:leftChars="50" w:right="160" w:rightChars="5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4</w:t>
      </w:r>
      <w:r>
        <w:rPr>
          <w:rFonts w:hint="default" w:ascii="Times New Roman" w:hAnsi="Times New Roman" w:eastAsia="楷体_GB2312" w:cs="Times New Roman"/>
          <w:color w:val="auto"/>
          <w:sz w:val="21"/>
          <w:szCs w:val="21"/>
        </w:rPr>
        <w:t>.</w:t>
      </w:r>
      <w:r>
        <w:rPr>
          <w:rFonts w:hint="default" w:ascii="Times New Roman" w:hAnsi="Times New Roman" w:eastAsia="楷体_GB2312" w:cs="Times New Roman"/>
          <w:color w:val="auto"/>
          <w:sz w:val="21"/>
          <w:szCs w:val="21"/>
          <w:lang w:val="en-US" w:eastAsia="zh-CN"/>
        </w:rPr>
        <w:t xml:space="preserve"> 作价投资的科技成果转化当年实现分配的股权总收入中，</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奖励个人</w:t>
      </w:r>
      <w:r>
        <w:rPr>
          <w:rFonts w:hint="eastAsia" w:eastAsia="楷体_GB2312" w:cs="Times New Roman"/>
          <w:color w:val="auto"/>
          <w:sz w:val="21"/>
          <w:szCs w:val="21"/>
          <w:lang w:val="en-US" w:eastAsia="zh-CN"/>
        </w:rPr>
        <w:t>”</w:t>
      </w:r>
      <w:r>
        <w:rPr>
          <w:rFonts w:hint="default" w:ascii="Times New Roman" w:hAnsi="Times New Roman" w:eastAsia="楷体_GB2312" w:cs="Times New Roman"/>
          <w:color w:val="auto"/>
          <w:sz w:val="21"/>
          <w:szCs w:val="21"/>
          <w:lang w:val="en-US" w:eastAsia="zh-CN"/>
        </w:rPr>
        <w:t>为科技成果转化总收入中以股权方式奖励给个人的部分；</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留归单位</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为股权总收入中除去奖励个人以外的部分。</w:t>
      </w:r>
    </w:p>
    <w:p>
      <w:pPr>
        <w:keepNext w:val="0"/>
        <w:keepLines w:val="0"/>
        <w:pageBreakBefore w:val="0"/>
        <w:widowControl w:val="0"/>
        <w:kinsoku/>
        <w:wordWrap/>
        <w:overflowPunct/>
        <w:topLinePunct w:val="0"/>
        <w:autoSpaceDE/>
        <w:autoSpaceDN/>
        <w:bidi w:val="0"/>
        <w:adjustRightInd w:val="0"/>
        <w:snapToGrid w:val="0"/>
        <w:spacing w:line="300" w:lineRule="auto"/>
        <w:ind w:left="842" w:leftChars="50" w:right="160" w:rightChars="5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5</w:t>
      </w:r>
      <w:r>
        <w:rPr>
          <w:rFonts w:hint="default" w:ascii="Times New Roman" w:hAnsi="Times New Roman" w:eastAsia="楷体_GB2312" w:cs="Times New Roman"/>
          <w:color w:val="auto"/>
          <w:sz w:val="21"/>
          <w:szCs w:val="21"/>
        </w:rPr>
        <w:t>.</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研发与转化主要贡献人员</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为在研究开发和科技成果转化中作出主要贡献的人员，原则上该指标应不低于</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奖励个人</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的50%。</w:t>
      </w:r>
    </w:p>
    <w:p>
      <w:pPr>
        <w:keepNext w:val="0"/>
        <w:keepLines w:val="0"/>
        <w:pageBreakBefore w:val="0"/>
        <w:widowControl w:val="0"/>
        <w:kinsoku/>
        <w:wordWrap/>
        <w:overflowPunct/>
        <w:topLinePunct w:val="0"/>
        <w:autoSpaceDE/>
        <w:autoSpaceDN/>
        <w:bidi w:val="0"/>
        <w:adjustRightInd w:val="0"/>
        <w:snapToGrid w:val="0"/>
        <w:spacing w:line="300" w:lineRule="auto"/>
        <w:ind w:left="842" w:leftChars="50" w:right="160" w:rightChars="5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6</w:t>
      </w:r>
      <w:r>
        <w:rPr>
          <w:rFonts w:hint="default" w:ascii="Times New Roman" w:hAnsi="Times New Roman" w:eastAsia="楷体_GB2312" w:cs="Times New Roman"/>
          <w:color w:val="auto"/>
          <w:sz w:val="21"/>
          <w:szCs w:val="21"/>
        </w:rPr>
        <w:t>. 第二栏中</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股份奖励人次</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中如果是一个人代持团队的股份，请按照团队实际人数填报。</w:t>
      </w:r>
    </w:p>
    <w:p>
      <w:pPr>
        <w:keepNext w:val="0"/>
        <w:keepLines w:val="0"/>
        <w:pageBreakBefore w:val="0"/>
        <w:widowControl w:val="0"/>
        <w:kinsoku/>
        <w:wordWrap/>
        <w:overflowPunct/>
        <w:topLinePunct w:val="0"/>
        <w:autoSpaceDE/>
        <w:autoSpaceDN/>
        <w:bidi w:val="0"/>
        <w:adjustRightInd w:val="0"/>
        <w:snapToGrid w:val="0"/>
        <w:spacing w:line="300" w:lineRule="auto"/>
        <w:ind w:left="842" w:leftChars="50" w:right="160" w:rightChars="5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7</w:t>
      </w:r>
      <w:r>
        <w:rPr>
          <w:rFonts w:hint="default" w:ascii="Times New Roman" w:hAnsi="Times New Roman" w:eastAsia="楷体_GB2312" w:cs="Times New Roman"/>
          <w:color w:val="auto"/>
          <w:sz w:val="21"/>
          <w:szCs w:val="21"/>
        </w:rPr>
        <w:t>.</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单位获得现金和股权收入总额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是现金和股权收入</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留归单位</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部分的合计；</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对个人现金、股权奖励总额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是现金和股权收入</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奖励个人</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部分的合计。</w:t>
      </w:r>
    </w:p>
    <w:p>
      <w:pPr>
        <w:keepNext w:val="0"/>
        <w:keepLines w:val="0"/>
        <w:pageBreakBefore w:val="0"/>
        <w:widowControl w:val="0"/>
        <w:kinsoku/>
        <w:wordWrap/>
        <w:overflowPunct/>
        <w:topLinePunct w:val="0"/>
        <w:autoSpaceDE/>
        <w:autoSpaceDN/>
        <w:bidi w:val="0"/>
        <w:adjustRightInd w:val="0"/>
        <w:snapToGrid w:val="0"/>
        <w:spacing w:line="300" w:lineRule="auto"/>
        <w:ind w:left="842" w:leftChars="50" w:right="160" w:rightChars="50" w:hanging="682" w:hangingChars="325"/>
        <w:textAlignment w:val="auto"/>
        <w:outlineLvl w:val="9"/>
        <w:rPr>
          <w:rFonts w:hint="default" w:ascii="Times New Roman" w:hAnsi="Times New Roman" w:eastAsia="楷体_GB2312" w:cs="Times New Roman"/>
          <w:color w:val="auto"/>
          <w:sz w:val="21"/>
          <w:szCs w:val="21"/>
        </w:rPr>
      </w:pPr>
      <w:r>
        <w:rPr>
          <w:rFonts w:hint="default" w:ascii="Times New Roman" w:hAnsi="Times New Roman" w:eastAsia="楷体_GB2312" w:cs="Times New Roman"/>
          <w:color w:val="auto"/>
          <w:sz w:val="21"/>
          <w:szCs w:val="21"/>
          <w:lang w:val="en-US" w:eastAsia="zh-CN"/>
        </w:rPr>
        <w:t xml:space="preserve">    8</w:t>
      </w:r>
      <w:r>
        <w:rPr>
          <w:rFonts w:hint="default" w:ascii="Times New Roman" w:hAnsi="Times New Roman" w:eastAsia="楷体_GB2312" w:cs="Times New Roman"/>
          <w:color w:val="auto"/>
          <w:sz w:val="21"/>
          <w:szCs w:val="21"/>
        </w:rPr>
        <w:t>.</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以转让、许可、作价投资方式转化科技成果单位获得现金、股权收入总额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是转让、许可的科技成果转化现金收入和作价投资的科技成果转化股权收入</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留归单位</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部分的合计；</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以转让、许可、作价投资方式转化科技成果对个人现金、股权奖励总额</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是转让、许可的科技成果转化现金收入和作价投资的科技成果转化股权收入</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奖励个人</w:t>
      </w:r>
      <w:r>
        <w:rPr>
          <w:rFonts w:hint="eastAsia" w:eastAsia="楷体_GB2312" w:cs="Times New Roman"/>
          <w:color w:val="auto"/>
          <w:sz w:val="21"/>
          <w:szCs w:val="21"/>
          <w:lang w:eastAsia="zh-CN"/>
        </w:rPr>
        <w:t>”</w:t>
      </w:r>
      <w:r>
        <w:rPr>
          <w:rFonts w:hint="default" w:ascii="Times New Roman" w:hAnsi="Times New Roman" w:eastAsia="楷体_GB2312" w:cs="Times New Roman"/>
          <w:color w:val="auto"/>
          <w:sz w:val="21"/>
          <w:szCs w:val="21"/>
        </w:rPr>
        <w:t>部分的合计。</w:t>
      </w:r>
    </w:p>
    <w:p>
      <w:pPr>
        <w:keepNext/>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eastAsia="黑体" w:cs="Times New Roman"/>
          <w:color w:val="auto"/>
          <w:sz w:val="24"/>
          <w:szCs w:val="24"/>
        </w:rPr>
      </w:pPr>
      <w:r>
        <w:rPr>
          <w:rFonts w:hint="default" w:ascii="Times New Roman" w:hAnsi="Times New Roman" w:eastAsia="黑体" w:cs="Times New Roman"/>
          <w:color w:val="auto"/>
          <w:sz w:val="24"/>
          <w:szCs w:val="24"/>
        </w:rPr>
        <w:t>四、成效、问题与建议</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1.</w:t>
      </w:r>
      <w:r>
        <w:rPr>
          <w:rFonts w:hint="default"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rPr>
        <w:t>取得的成效与经验</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（1）单位取得科技成果的数量总体情况</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单位取得科技成果的数量总体情况（如专利总数量、授权专利数、有效专利数、当年新增专利数、当年新增软件著作权数、当年发表论文数、当年获得科技奖励情况等）。</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（2）在成果转化方面取得成效和工作经验</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r>
        <w:rPr>
          <w:rFonts w:hint="default" w:ascii="Times New Roman" w:hAnsi="Times New Roman" w:cs="Times New Roman"/>
          <w:color w:val="auto"/>
          <w:spacing w:val="-6"/>
          <w:sz w:val="21"/>
          <w:szCs w:val="21"/>
        </w:rPr>
        <w:t>包括规章制度体系建设及执行情况（如科技成果转化管理机构、审批流程、奖励机制、尽职调查程序和考核评价体系等）、项目运作流程、科技成果转化年度报告制度建设情况等。</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（3）技术转移机构和技术转移队伍情况</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包括技术转移机构在科技成果转化过程中发挥的作用、单位内部技术转移机构人才队伍建设等情况。</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b/>
          <w:bCs/>
          <w:color w:val="auto"/>
          <w:sz w:val="21"/>
          <w:szCs w:val="21"/>
        </w:rPr>
      </w:pPr>
      <w:r>
        <w:rPr>
          <w:rFonts w:hint="eastAsia" w:cs="Times New Roman"/>
          <w:b/>
          <w:bCs/>
          <w:color w:val="auto"/>
          <w:sz w:val="21"/>
          <w:szCs w:val="21"/>
          <w:lang w:val="en-US" w:eastAsia="zh-CN"/>
        </w:rPr>
        <w:t>2</w:t>
      </w:r>
      <w:r>
        <w:rPr>
          <w:rFonts w:hint="default" w:ascii="Times New Roman" w:hAnsi="Times New Roman" w:cs="Times New Roman"/>
          <w:b/>
          <w:bCs/>
          <w:color w:val="auto"/>
          <w:sz w:val="21"/>
          <w:szCs w:val="21"/>
        </w:rPr>
        <w:t>.</w:t>
      </w:r>
      <w:r>
        <w:rPr>
          <w:rFonts w:hint="eastAsia" w:cs="Times New Roman"/>
          <w:b/>
          <w:bCs/>
          <w:color w:val="auto"/>
          <w:sz w:val="21"/>
          <w:szCs w:val="21"/>
          <w:lang w:val="en-US" w:eastAsia="zh-CN"/>
        </w:rPr>
        <w:t xml:space="preserve"> </w:t>
      </w:r>
      <w:r>
        <w:rPr>
          <w:rFonts w:hint="default" w:ascii="Times New Roman" w:hAnsi="Times New Roman" w:cs="Times New Roman"/>
          <w:b/>
          <w:bCs/>
          <w:color w:val="auto"/>
          <w:sz w:val="21"/>
          <w:szCs w:val="21"/>
        </w:rPr>
        <w:t>成果转化典型案例</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介绍2-3个近3年内科技成果转化的典型案例。</w:t>
      </w:r>
      <w:r>
        <w:rPr>
          <w:rFonts w:hint="default" w:ascii="Times New Roman" w:hAnsi="Times New Roman" w:cs="Times New Roman"/>
          <w:color w:val="auto"/>
          <w:sz w:val="21"/>
          <w:szCs w:val="21"/>
          <w:lang w:eastAsia="zh-CN"/>
        </w:rPr>
        <w:t>重点填报国家和各级科技计划产生的重大</w:t>
      </w:r>
      <w:r>
        <w:rPr>
          <w:rFonts w:hint="default" w:ascii="Times New Roman" w:hAnsi="Times New Roman" w:cs="Times New Roman"/>
          <w:color w:val="auto"/>
          <w:sz w:val="21"/>
          <w:szCs w:val="21"/>
        </w:rPr>
        <w:t>科技成果</w:t>
      </w:r>
      <w:r>
        <w:rPr>
          <w:rFonts w:hint="default" w:ascii="Times New Roman" w:hAnsi="Times New Roman" w:cs="Times New Roman"/>
          <w:color w:val="auto"/>
          <w:sz w:val="21"/>
          <w:szCs w:val="21"/>
          <w:lang w:eastAsia="zh-CN"/>
        </w:rPr>
        <w:t>转化案例，国家及各省市开展赋权改革、科技成果评价改革、职务科技成果单列管理等改革试点工作中产生的具有代表性或特色做法的成果转化案例</w:t>
      </w:r>
      <w:r>
        <w:rPr>
          <w:rFonts w:hint="default" w:ascii="Times New Roman" w:hAnsi="Times New Roman" w:cs="Times New Roman"/>
          <w:color w:val="auto"/>
          <w:sz w:val="21"/>
          <w:szCs w:val="21"/>
        </w:rPr>
        <w:t>。</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案例内容主要包括成果的特点、前期研发投入（如财力、人力、物力等）、研发周期、转化方式及过程、定价方式（如协议定价、挂牌交易、拍卖等，定价过程中是否进行过评估等）、转化收益（如合同金额、到账金额等）、单位内部或外部的第三方技术转移机构发挥的作用、收益分配情况（包括奖励比例、奖励金额及奖励人次等），转化成果应用领域、产生的经济和社会效益、对国家战略的贡献，转化过程中遇到的相关问题及处理方式等。</w:t>
      </w:r>
    </w:p>
    <w:p>
      <w:pPr>
        <w:keepNext w:val="0"/>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3.</w:t>
      </w:r>
      <w:r>
        <w:rPr>
          <w:rFonts w:hint="default" w:ascii="Times New Roman" w:hAnsi="Times New Roman" w:cs="Times New Roman"/>
          <w:b/>
          <w:bCs/>
          <w:color w:val="auto"/>
          <w:sz w:val="21"/>
          <w:szCs w:val="21"/>
          <w:lang w:val="en-US" w:eastAsia="zh-CN"/>
        </w:rPr>
        <w:t xml:space="preserve"> </w:t>
      </w:r>
      <w:r>
        <w:rPr>
          <w:rFonts w:hint="default" w:ascii="Times New Roman" w:hAnsi="Times New Roman" w:cs="Times New Roman"/>
          <w:b/>
          <w:bCs/>
          <w:color w:val="auto"/>
          <w:sz w:val="21"/>
          <w:szCs w:val="21"/>
        </w:rPr>
        <w:t>问题与建议</w:t>
      </w:r>
    </w:p>
    <w:p>
      <w:pPr>
        <w:keepLines w:val="0"/>
        <w:pageBreakBefore w:val="0"/>
        <w:widowControl w:val="0"/>
        <w:kinsoku/>
        <w:wordWrap/>
        <w:overflowPunct/>
        <w:topLinePunct w:val="0"/>
        <w:autoSpaceDE/>
        <w:autoSpaceDN/>
        <w:bidi w:val="0"/>
        <w:adjustRightInd w:val="0"/>
        <w:snapToGrid w:val="0"/>
        <w:spacing w:line="300" w:lineRule="auto"/>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在开展成果转化过程中面临的问题和障碍，相关政策建议。</w:t>
      </w:r>
    </w:p>
    <w:p>
      <w:pPr>
        <w:ind w:left="0" w:leftChars="0" w:firstLine="0" w:firstLineChars="0"/>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长城小标宋体">
    <w:altName w:val="宋体"/>
    <w:panose1 w:val="02010609010101010101"/>
    <w:charset w:val="00"/>
    <w:family w:val="moder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ind w:firstLine="640"/>
      </w:pPr>
      <w:r>
        <w:separator/>
      </w:r>
    </w:p>
  </w:footnote>
  <w:footnote w:type="continuationSeparator" w:id="1">
    <w:p>
      <w:pPr>
        <w:spacing w:line="336"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98F18"/>
    <w:multiLevelType w:val="singleLevel"/>
    <w:tmpl w:val="B0298F18"/>
    <w:lvl w:ilvl="0" w:tentative="0">
      <w:start w:val="1"/>
      <w:numFmt w:val="decimal"/>
      <w:suff w:val="nothing"/>
      <w:lvlText w:val="（%1）"/>
      <w:lvlJc w:val="left"/>
    </w:lvl>
  </w:abstractNum>
  <w:abstractNum w:abstractNumId="1">
    <w:nsid w:val="501BE8DC"/>
    <w:multiLevelType w:val="singleLevel"/>
    <w:tmpl w:val="501BE8D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MTRhNzU4OTFlOWJlNmViY2RjOWUxMjI2NjZlMTgifQ=="/>
  </w:docVars>
  <w:rsids>
    <w:rsidRoot w:val="FF7F6CB9"/>
    <w:rsid w:val="5079755C"/>
    <w:rsid w:val="58F96220"/>
    <w:rsid w:val="FF7F6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36" w:lineRule="auto"/>
      <w:ind w:firstLine="616" w:firstLineChars="200"/>
      <w:jc w:val="both"/>
      <w:outlineLvl w:val="9"/>
    </w:pPr>
    <w:rPr>
      <w:rFonts w:ascii="Times New Roman" w:hAnsi="Times New Roman" w:eastAsia="仿宋_GB2312" w:cs="Times New Roman"/>
      <w:spacing w:val="0"/>
      <w:kern w:val="2"/>
      <w:sz w:val="32"/>
      <w:szCs w:val="32"/>
      <w:lang w:val="en-US" w:eastAsia="zh-CN" w:bidi="ar-SA"/>
    </w:rPr>
  </w:style>
  <w:style w:type="paragraph" w:styleId="2">
    <w:name w:val="heading 1"/>
    <w:basedOn w:val="1"/>
    <w:next w:val="1"/>
    <w:qFormat/>
    <w:uiPriority w:val="0"/>
    <w:pPr>
      <w:keepNext w:val="0"/>
      <w:keepLines w:val="0"/>
      <w:adjustRightInd w:val="0"/>
      <w:snapToGrid w:val="0"/>
      <w:spacing w:before="0" w:beforeLines="0" w:beforeAutospacing="0" w:after="0" w:afterLines="0" w:afterAutospacing="0" w:line="336" w:lineRule="auto"/>
      <w:ind w:firstLine="856" w:firstLineChars="200"/>
      <w:outlineLvl w:val="0"/>
    </w:pPr>
    <w:rPr>
      <w:rFonts w:eastAsia="黑体"/>
    </w:rPr>
  </w:style>
  <w:style w:type="paragraph" w:styleId="3">
    <w:name w:val="heading 2"/>
    <w:basedOn w:val="1"/>
    <w:next w:val="1"/>
    <w:qFormat/>
    <w:uiPriority w:val="0"/>
    <w:pPr>
      <w:keepNext w:val="0"/>
      <w:keepLines w:val="0"/>
      <w:adjustRightInd w:val="0"/>
      <w:snapToGrid w:val="0"/>
      <w:spacing w:before="0" w:beforeLines="0" w:after="0" w:afterLines="0" w:line="336" w:lineRule="auto"/>
      <w:ind w:left="0" w:leftChars="0" w:right="0" w:rightChars="0" w:firstLine="856" w:firstLineChars="200"/>
      <w:outlineLvl w:val="1"/>
    </w:pPr>
    <w:rPr>
      <w:rFonts w:eastAsia="楷体_GB2312"/>
    </w:rPr>
  </w:style>
  <w:style w:type="paragraph" w:styleId="4">
    <w:name w:val="heading 4"/>
    <w:basedOn w:val="1"/>
    <w:next w:val="1"/>
    <w:unhideWhenUsed/>
    <w:qFormat/>
    <w:uiPriority w:val="0"/>
    <w:pPr>
      <w:keepNext w:val="0"/>
      <w:keepLines w:val="0"/>
      <w:spacing w:beforeLines="0" w:beforeAutospacing="0" w:afterLines="0" w:afterAutospacing="0" w:line="300" w:lineRule="auto"/>
      <w:ind w:firstLine="0" w:firstLineChars="0"/>
      <w:jc w:val="center"/>
      <w:outlineLvl w:val="3"/>
    </w:pPr>
    <w:rPr>
      <w:rFonts w:eastAsia="长城小标宋体" w:cs="Times New Roman"/>
      <w:b/>
      <w:bCs/>
      <w:spacing w:val="6"/>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小标"/>
    <w:basedOn w:val="3"/>
    <w:next w:val="1"/>
    <w:qFormat/>
    <w:uiPriority w:val="0"/>
    <w:pPr>
      <w:spacing w:line="300" w:lineRule="auto"/>
      <w:ind w:firstLine="0" w:firstLineChars="0"/>
      <w:jc w:val="center"/>
    </w:pPr>
    <w:rPr>
      <w:spacing w:val="6"/>
    </w:rPr>
  </w:style>
  <w:style w:type="table" w:customStyle="1" w:styleId="10">
    <w:name w:val="无格式表格 21"/>
    <w:basedOn w:val="7"/>
    <w:qFormat/>
    <w:uiPriority w:val="42"/>
    <w:rPr>
      <w:rFonts w:ascii="等线" w:hAnsi="等线" w:eastAsia="等线"/>
    </w:rPr>
    <w:tblPr>
      <w:tblBorders>
        <w:top w:val="single" w:color="7F7F7F" w:sz="4" w:space="0"/>
        <w:bottom w:val="single" w:color="7F7F7F" w:sz="4" w:space="0"/>
      </w:tblBorders>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5276</Words>
  <Characters>5408</Characters>
  <Lines>0</Lines>
  <Paragraphs>0</Paragraphs>
  <TotalTime>1</TotalTime>
  <ScaleCrop>false</ScaleCrop>
  <LinksUpToDate>false</LinksUpToDate>
  <CharactersWithSpaces>5574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2023-03-31T16:08:00Z</dcterms:created>
  <dc:creator>gxs_zhudi</dc:creator>
  <cp:lastModifiedBy>雨点</cp:lastModifiedBy>
  <dcterms:modified xsi:type="dcterms:W3CDTF">2023-04-10T07:38:48Z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07A84EE3FBB242069512851552E9A8ED</vt:lpwstr>
  </property>
</Properties>
</file>